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B6C02A" w14:textId="77777777" w:rsidR="00F47B60" w:rsidRDefault="00000000">
      <w:pPr>
        <w:pStyle w:val="Heading1"/>
        <w:numPr>
          <w:ilvl w:val="0"/>
          <w:numId w:val="0"/>
        </w:numPr>
        <w:spacing w:after="216" w:line="259" w:lineRule="auto"/>
        <w:ind w:left="1"/>
        <w:jc w:val="center"/>
      </w:pPr>
      <w:r>
        <w:t xml:space="preserve">BUSINESS ASSOCIATE SUBCONTRACT </w:t>
      </w:r>
    </w:p>
    <w:p w14:paraId="31F6E9F8" w14:textId="769237B8" w:rsidR="00F47B60" w:rsidRDefault="00000000">
      <w:pPr>
        <w:ind w:left="0" w:right="0" w:firstLine="0"/>
      </w:pPr>
      <w:r>
        <w:rPr>
          <w:rFonts w:ascii="Calibri" w:eastAsia="Calibri" w:hAnsi="Calibri" w:cs="Calibri"/>
          <w:noProof/>
          <w:sz w:val="22"/>
        </w:rPr>
        <mc:AlternateContent>
          <mc:Choice Requires="wpg">
            <w:drawing>
              <wp:anchor distT="0" distB="0" distL="114300" distR="114300" simplePos="0" relativeHeight="251658240" behindDoc="1" locked="0" layoutInCell="1" allowOverlap="1" wp14:anchorId="1B3F291E" wp14:editId="611914E6">
                <wp:simplePos x="0" y="0"/>
                <wp:positionH relativeFrom="column">
                  <wp:posOffset>2467050</wp:posOffset>
                </wp:positionH>
                <wp:positionV relativeFrom="paragraph">
                  <wp:posOffset>-36611</wp:posOffset>
                </wp:positionV>
                <wp:extent cx="2751683" cy="350490"/>
                <wp:effectExtent l="0" t="0" r="0" b="0"/>
                <wp:wrapNone/>
                <wp:docPr id="23186" name="Group 23186"/>
                <wp:cNvGraphicFramePr/>
                <a:graphic xmlns:a="http://schemas.openxmlformats.org/drawingml/2006/main">
                  <a:graphicData uri="http://schemas.microsoft.com/office/word/2010/wordprocessingGroup">
                    <wpg:wgp>
                      <wpg:cNvGrpSpPr/>
                      <wpg:grpSpPr>
                        <a:xfrm>
                          <a:off x="0" y="0"/>
                          <a:ext cx="2751683" cy="350490"/>
                          <a:chOff x="0" y="0"/>
                          <a:chExt cx="2751683" cy="350490"/>
                        </a:xfrm>
                      </wpg:grpSpPr>
                      <wps:wsp>
                        <wps:cNvPr id="24067" name="Shape 24067"/>
                        <wps:cNvSpPr/>
                        <wps:spPr>
                          <a:xfrm>
                            <a:off x="1256258" y="0"/>
                            <a:ext cx="1495425" cy="175245"/>
                          </a:xfrm>
                          <a:custGeom>
                            <a:avLst/>
                            <a:gdLst/>
                            <a:ahLst/>
                            <a:cxnLst/>
                            <a:rect l="0" t="0" r="0" b="0"/>
                            <a:pathLst>
                              <a:path w="1495425" h="175245">
                                <a:moveTo>
                                  <a:pt x="0" y="0"/>
                                </a:moveTo>
                                <a:lnTo>
                                  <a:pt x="1495425" y="0"/>
                                </a:lnTo>
                                <a:lnTo>
                                  <a:pt x="1495425" y="175245"/>
                                </a:lnTo>
                                <a:lnTo>
                                  <a:pt x="0" y="175245"/>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24068" name="Shape 24068"/>
                        <wps:cNvSpPr/>
                        <wps:spPr>
                          <a:xfrm>
                            <a:off x="0" y="175245"/>
                            <a:ext cx="1407096" cy="175245"/>
                          </a:xfrm>
                          <a:custGeom>
                            <a:avLst/>
                            <a:gdLst/>
                            <a:ahLst/>
                            <a:cxnLst/>
                            <a:rect l="0" t="0" r="0" b="0"/>
                            <a:pathLst>
                              <a:path w="1407096" h="175245">
                                <a:moveTo>
                                  <a:pt x="0" y="0"/>
                                </a:moveTo>
                                <a:lnTo>
                                  <a:pt x="1407096" y="0"/>
                                </a:lnTo>
                                <a:lnTo>
                                  <a:pt x="1407096" y="175245"/>
                                </a:lnTo>
                                <a:lnTo>
                                  <a:pt x="0" y="175245"/>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g:wgp>
                  </a:graphicData>
                </a:graphic>
              </wp:anchor>
            </w:drawing>
          </mc:Choice>
          <mc:Fallback xmlns:a="http://schemas.openxmlformats.org/drawingml/2006/main">
            <w:pict>
              <v:group id="Group 23186" style="width:216.668pt;height:27.5977pt;position:absolute;z-index:-2147483647;mso-position-horizontal-relative:text;mso-position-horizontal:absolute;margin-left:194.256pt;mso-position-vertical-relative:text;margin-top:-2.88281pt;" coordsize="27516,3504">
                <v:shape id="Shape 24069" style="position:absolute;width:14954;height:1752;left:12562;top:0;" coordsize="1495425,175245" path="m0,0l1495425,0l1495425,175245l0,175245l0,0">
                  <v:stroke weight="0pt" endcap="flat" joinstyle="miter" miterlimit="10" on="false" color="#000000" opacity="0"/>
                  <v:fill on="true" color="#ffff00"/>
                </v:shape>
                <v:shape id="Shape 24070" style="position:absolute;width:14070;height:1752;left:0;top:1752;" coordsize="1407096,175245" path="m0,0l1407096,0l1407096,175245l0,175245l0,0">
                  <v:stroke weight="0pt" endcap="flat" joinstyle="miter" miterlimit="10" on="false" color="#000000" opacity="0"/>
                  <v:fill on="true" color="#ffff00"/>
                </v:shape>
              </v:group>
            </w:pict>
          </mc:Fallback>
        </mc:AlternateContent>
      </w:r>
      <w:r>
        <w:t>This Business Associate Subcontract (“</w:t>
      </w:r>
      <w:r>
        <w:rPr>
          <w:u w:val="single" w:color="000000"/>
        </w:rPr>
        <w:t>Subcontract</w:t>
      </w:r>
      <w:r>
        <w:t>”) dated _</w:t>
      </w:r>
      <w:r w:rsidR="003B1723">
        <w:t>August 22, 2025</w:t>
      </w:r>
      <w:r>
        <w:t>_, 20__, (“</w:t>
      </w:r>
      <w:r>
        <w:rPr>
          <w:u w:val="single" w:color="000000"/>
        </w:rPr>
        <w:t>Effective</w:t>
      </w:r>
      <w:r>
        <w:t xml:space="preserve"> </w:t>
      </w:r>
      <w:r>
        <w:rPr>
          <w:u w:val="single" w:color="000000"/>
        </w:rPr>
        <w:t>Date</w:t>
      </w:r>
      <w:r>
        <w:t xml:space="preserve">”) is entered into by and between </w:t>
      </w:r>
      <w:r w:rsidR="003B1723">
        <w:t xml:space="preserve">Robotalker.com LLC </w:t>
      </w:r>
      <w:r>
        <w:t>(“</w:t>
      </w:r>
      <w:r>
        <w:rPr>
          <w:u w:val="single" w:color="000000"/>
        </w:rPr>
        <w:t>Contractor</w:t>
      </w:r>
      <w:r>
        <w:t xml:space="preserve">”) and </w:t>
      </w:r>
      <w:proofErr w:type="spellStart"/>
      <w:r>
        <w:t>Vitable</w:t>
      </w:r>
      <w:proofErr w:type="spellEnd"/>
      <w:r>
        <w:t>, Inc. (“</w:t>
      </w:r>
      <w:r>
        <w:rPr>
          <w:u w:val="single" w:color="000000"/>
        </w:rPr>
        <w:t>Company</w:t>
      </w:r>
      <w:r>
        <w:t>”) (each a “</w:t>
      </w:r>
      <w:r>
        <w:rPr>
          <w:u w:val="single" w:color="000000"/>
        </w:rPr>
        <w:t>Party</w:t>
      </w:r>
      <w:r>
        <w:t>” and collectively the “</w:t>
      </w:r>
      <w:r>
        <w:rPr>
          <w:u w:val="single" w:color="000000"/>
        </w:rPr>
        <w:t>Parties</w:t>
      </w:r>
      <w:r>
        <w:t xml:space="preserve">”) as part of </w:t>
      </w:r>
      <w:r w:rsidR="003B1723">
        <w:t xml:space="preserve">the service agreement between the two </w:t>
      </w:r>
      <w:proofErr w:type="spellStart"/>
      <w:r w:rsidR="003B1723">
        <w:t>paries</w:t>
      </w:r>
      <w:proofErr w:type="spellEnd"/>
      <w:r>
        <w:t xml:space="preserve"> (“</w:t>
      </w:r>
      <w:r>
        <w:rPr>
          <w:u w:val="single" w:color="000000"/>
        </w:rPr>
        <w:t>Agreement</w:t>
      </w:r>
      <w:r>
        <w:t xml:space="preserve">”). </w:t>
      </w:r>
    </w:p>
    <w:p w14:paraId="687A9958" w14:textId="77777777" w:rsidR="00F47B60" w:rsidRDefault="00000000">
      <w:pPr>
        <w:ind w:left="0" w:right="0" w:firstLine="0"/>
      </w:pPr>
      <w:r>
        <w:t>The Parties [</w:t>
      </w:r>
      <w:r>
        <w:rPr>
          <w:shd w:val="clear" w:color="auto" w:fill="FFFF00"/>
        </w:rPr>
        <w:t>are entering into / have entered into</w:t>
      </w:r>
      <w:r>
        <w:t>] the Agreement for the provision by Contractor of services as specified under the Agreement (the “</w:t>
      </w:r>
      <w:r>
        <w:rPr>
          <w:u w:val="single" w:color="000000"/>
        </w:rPr>
        <w:t>Services</w:t>
      </w:r>
      <w:r>
        <w:t>”) that are in fulfillment or support of services that Company is obligated to provide for or on behalf of one or more Covered Entities (each a “</w:t>
      </w:r>
      <w:r>
        <w:rPr>
          <w:u w:val="single" w:color="000000"/>
        </w:rPr>
        <w:t>Covered Entity</w:t>
      </w:r>
      <w:r>
        <w:t xml:space="preserve">”) and that the provision of the Services may involve PHI (as defined in Section 1.4).  The purpose of this Subcontract is to allow for Company’s compliance with its obligations under HIPAA and HITECH (as each is defined in Section 1) and under its agreements with each applicable Covered Entity.  Additionally, the Contractor shall be responsible for maintaining compliance with SOC 2 standards to ensure the secure handling of data and adherence to best practices in data protection and information security. </w:t>
      </w:r>
    </w:p>
    <w:p w14:paraId="4259C565" w14:textId="77777777" w:rsidR="00F47B60" w:rsidRDefault="00000000">
      <w:pPr>
        <w:spacing w:after="259"/>
        <w:ind w:left="0" w:right="0" w:firstLine="0"/>
      </w:pPr>
      <w:r>
        <w:t>The Parties hereby agree as follows:</w:t>
      </w:r>
      <w:r>
        <w:rPr>
          <w:b/>
        </w:rPr>
        <w:t xml:space="preserve"> </w:t>
      </w:r>
    </w:p>
    <w:p w14:paraId="08F69A46" w14:textId="77777777" w:rsidR="00F47B60" w:rsidRDefault="00000000">
      <w:pPr>
        <w:pStyle w:val="Heading1"/>
        <w:ind w:left="705" w:hanging="720"/>
      </w:pPr>
      <w:r>
        <w:t xml:space="preserve">DEFINITIONS </w:t>
      </w:r>
    </w:p>
    <w:p w14:paraId="77891617" w14:textId="77777777" w:rsidR="00F47B60" w:rsidRDefault="00000000">
      <w:pPr>
        <w:ind w:left="1435" w:right="0"/>
      </w:pPr>
      <w:r>
        <w:rPr>
          <w:b/>
          <w:color w:val="010000"/>
        </w:rPr>
        <w:t xml:space="preserve">1.1 </w:t>
      </w:r>
      <w:r>
        <w:t>Unless otherwise specified in this Subcontract, all capitalized terms used in this Subcontract not otherwise defined have the meanings established for purposes of the Health Insurance Portability and Accountability Act of 1996 and its implementing regulations (collectively, “</w:t>
      </w:r>
      <w:r>
        <w:rPr>
          <w:u w:val="single" w:color="000000"/>
        </w:rPr>
        <w:t>HIPAA</w:t>
      </w:r>
      <w:r>
        <w:t xml:space="preserve">”) and HITECH, as each is amended from time to time. </w:t>
      </w:r>
    </w:p>
    <w:p w14:paraId="61216611" w14:textId="77777777" w:rsidR="00F47B60" w:rsidRDefault="00000000">
      <w:pPr>
        <w:ind w:left="1435" w:right="0"/>
      </w:pPr>
      <w:r>
        <w:rPr>
          <w:b/>
          <w:color w:val="010000"/>
        </w:rPr>
        <w:t xml:space="preserve">1.2 </w:t>
      </w:r>
      <w:r>
        <w:t>“</w:t>
      </w:r>
      <w:r>
        <w:rPr>
          <w:u w:val="single" w:color="000000"/>
        </w:rPr>
        <w:t>Electronic Protected Health Information</w:t>
      </w:r>
      <w:r>
        <w:t>” (“</w:t>
      </w:r>
      <w:r>
        <w:rPr>
          <w:u w:val="single" w:color="000000"/>
        </w:rPr>
        <w:t>ePHI</w:t>
      </w:r>
      <w:r>
        <w:t xml:space="preserve">”) means PHI as defined in Section 1.4 that is transmitted or maintained in electronic media. </w:t>
      </w:r>
    </w:p>
    <w:p w14:paraId="595581CD" w14:textId="77777777" w:rsidR="00F47B60" w:rsidRDefault="00000000">
      <w:pPr>
        <w:ind w:left="1435" w:right="0"/>
      </w:pPr>
      <w:r>
        <w:rPr>
          <w:b/>
          <w:color w:val="010000"/>
        </w:rPr>
        <w:t xml:space="preserve">1.3 </w:t>
      </w:r>
      <w:r>
        <w:t>“</w:t>
      </w:r>
      <w:r>
        <w:rPr>
          <w:u w:val="single" w:color="000000"/>
        </w:rPr>
        <w:t>HITECH</w:t>
      </w:r>
      <w:r>
        <w:t xml:space="preserve">” means Subtitle D of the Health Information Technology for Economic and Clinical Health Act provisions of the American Recovery and Reinvestment Act of 2009, 42 U.S.C. §§17921-17954, and its implementing regulations.  Reference in this Subcontract to any section of HITECH will be deemed a reference to that provision, as interpreted and/or limited by its implementing regulations, and its existing and future implementing regulations, when and as each is effective. </w:t>
      </w:r>
    </w:p>
    <w:p w14:paraId="40617754" w14:textId="77777777" w:rsidR="00F47B60" w:rsidRDefault="00000000">
      <w:pPr>
        <w:ind w:left="1435" w:right="0"/>
      </w:pPr>
      <w:r>
        <w:rPr>
          <w:b/>
          <w:color w:val="010000"/>
        </w:rPr>
        <w:t xml:space="preserve">1.4 </w:t>
      </w:r>
      <w:r>
        <w:t>“</w:t>
      </w:r>
      <w:r>
        <w:rPr>
          <w:u w:val="single" w:color="000000"/>
        </w:rPr>
        <w:t>PHI</w:t>
      </w:r>
      <w:r>
        <w:t xml:space="preserve">” means Protected Health Information, as defined in 45 C.F.R. § 160.103, limited to the Protected Health Information received from, or created, received, maintained, or transmitted on behalf of, Company by Contractor pursuant to the Agreement. </w:t>
      </w:r>
    </w:p>
    <w:p w14:paraId="762BB3E5" w14:textId="77777777" w:rsidR="00F47B60" w:rsidRDefault="00000000">
      <w:pPr>
        <w:spacing w:after="259"/>
        <w:ind w:left="1435" w:right="0"/>
      </w:pPr>
      <w:r>
        <w:rPr>
          <w:b/>
          <w:color w:val="010000"/>
        </w:rPr>
        <w:t xml:space="preserve">1.5 </w:t>
      </w:r>
      <w:r>
        <w:t>“</w:t>
      </w:r>
      <w:r>
        <w:rPr>
          <w:u w:val="single" w:color="000000"/>
        </w:rPr>
        <w:t>Privacy Rule</w:t>
      </w:r>
      <w:r>
        <w:t xml:space="preserve">” means the federal privacy regulations issued pursuant to HIPAA, as amended from time to time. </w:t>
      </w:r>
    </w:p>
    <w:p w14:paraId="05A144FE" w14:textId="77777777" w:rsidR="00F47B60" w:rsidRDefault="00000000">
      <w:pPr>
        <w:spacing w:after="506"/>
        <w:ind w:left="1435" w:right="0"/>
      </w:pPr>
      <w:r>
        <w:rPr>
          <w:b/>
          <w:color w:val="010000"/>
        </w:rPr>
        <w:t xml:space="preserve">1.6 </w:t>
      </w:r>
      <w:r>
        <w:rPr>
          <w:b/>
          <w:color w:val="010000"/>
        </w:rPr>
        <w:tab/>
      </w:r>
      <w:r>
        <w:t>“</w:t>
      </w:r>
      <w:r>
        <w:rPr>
          <w:u w:val="single" w:color="000000"/>
        </w:rPr>
        <w:t>Security Rule</w:t>
      </w:r>
      <w:r>
        <w:t xml:space="preserve">” means the federal security regulations issued pursuant to HIPAA, as amended from time to time. </w:t>
      </w:r>
    </w:p>
    <w:p w14:paraId="16E06DDD" w14:textId="77777777" w:rsidR="00F47B60" w:rsidRDefault="00000000">
      <w:pPr>
        <w:spacing w:after="0" w:line="259" w:lineRule="auto"/>
        <w:ind w:left="0" w:right="0" w:firstLine="0"/>
        <w:jc w:val="left"/>
      </w:pPr>
      <w:r>
        <w:lastRenderedPageBreak/>
        <w:t xml:space="preserve"> </w:t>
      </w:r>
    </w:p>
    <w:p w14:paraId="3AE3637E" w14:textId="77777777" w:rsidR="00F47B60" w:rsidRDefault="00000000">
      <w:pPr>
        <w:tabs>
          <w:tab w:val="center" w:pos="870"/>
          <w:tab w:val="right" w:pos="9359"/>
        </w:tabs>
        <w:spacing w:after="3" w:line="259" w:lineRule="auto"/>
        <w:ind w:left="0" w:right="-9" w:firstLine="0"/>
        <w:jc w:val="left"/>
      </w:pPr>
      <w:r>
        <w:rPr>
          <w:rFonts w:ascii="Calibri" w:eastAsia="Calibri" w:hAnsi="Calibri" w:cs="Calibri"/>
          <w:sz w:val="22"/>
        </w:rPr>
        <w:tab/>
      </w:r>
      <w:r>
        <w:rPr>
          <w:b/>
          <w:color w:val="010000"/>
        </w:rPr>
        <w:t xml:space="preserve">1.7 </w:t>
      </w:r>
      <w:r>
        <w:rPr>
          <w:b/>
          <w:color w:val="010000"/>
        </w:rPr>
        <w:tab/>
      </w:r>
      <w:r>
        <w:t>“</w:t>
      </w:r>
      <w:r>
        <w:rPr>
          <w:u w:val="single" w:color="000000"/>
        </w:rPr>
        <w:t>SOC 2 Compliance</w:t>
      </w:r>
      <w:r>
        <w:t xml:space="preserve">” means adherence to the standards set forth by the American </w:t>
      </w:r>
    </w:p>
    <w:p w14:paraId="406CB90E" w14:textId="77777777" w:rsidR="00F47B60" w:rsidRDefault="00000000">
      <w:pPr>
        <w:spacing w:after="3" w:line="240" w:lineRule="auto"/>
        <w:ind w:left="1440" w:right="0" w:firstLine="0"/>
        <w:jc w:val="left"/>
      </w:pPr>
      <w:r>
        <w:t xml:space="preserve">Institute of Certified Public Accountants (AICPA) for Service Organization Control 2 (SOC 2), specifically covering the Trust Services Criteria of security, availability, confidentiality, processing integrity, and privacy. Compliance includes implementing all necessary safeguards, controls, and monitoring required to secure sensitive data, ensure system availability, and protect the confidentiality and integrity of information. </w:t>
      </w:r>
    </w:p>
    <w:p w14:paraId="26043796" w14:textId="77777777" w:rsidR="00F47B60" w:rsidRDefault="00000000">
      <w:pPr>
        <w:spacing w:after="9" w:line="259" w:lineRule="auto"/>
        <w:ind w:left="1440" w:right="0" w:firstLine="0"/>
        <w:jc w:val="left"/>
      </w:pPr>
      <w:r>
        <w:t xml:space="preserve"> </w:t>
      </w:r>
    </w:p>
    <w:p w14:paraId="0AD545BE" w14:textId="77777777" w:rsidR="00F47B60" w:rsidRDefault="00000000">
      <w:pPr>
        <w:pStyle w:val="Heading1"/>
        <w:spacing w:after="246"/>
        <w:ind w:left="705" w:hanging="720"/>
      </w:pPr>
      <w:r>
        <w:t xml:space="preserve">RESPONSIBILITIES OF CONTRACTOR </w:t>
      </w:r>
    </w:p>
    <w:p w14:paraId="32E1521B" w14:textId="77777777" w:rsidR="00F47B60" w:rsidRDefault="00000000">
      <w:pPr>
        <w:tabs>
          <w:tab w:val="center" w:pos="870"/>
          <w:tab w:val="center" w:pos="4741"/>
        </w:tabs>
        <w:ind w:left="0" w:right="0" w:firstLine="0"/>
        <w:jc w:val="left"/>
      </w:pPr>
      <w:r>
        <w:rPr>
          <w:rFonts w:ascii="Calibri" w:eastAsia="Calibri" w:hAnsi="Calibri" w:cs="Calibri"/>
          <w:sz w:val="22"/>
        </w:rPr>
        <w:tab/>
      </w:r>
      <w:r>
        <w:rPr>
          <w:b/>
          <w:color w:val="010000"/>
        </w:rPr>
        <w:t xml:space="preserve">2.1 </w:t>
      </w:r>
      <w:r>
        <w:rPr>
          <w:b/>
          <w:color w:val="010000"/>
        </w:rPr>
        <w:tab/>
      </w:r>
      <w:r>
        <w:t xml:space="preserve">With regard to its use and/or disclosure of PHI, Contractor agrees to: </w:t>
      </w:r>
    </w:p>
    <w:p w14:paraId="0917A59C" w14:textId="77777777" w:rsidR="00F47B60" w:rsidRDefault="00000000">
      <w:pPr>
        <w:numPr>
          <w:ilvl w:val="0"/>
          <w:numId w:val="1"/>
        </w:numPr>
        <w:ind w:right="0" w:hanging="720"/>
      </w:pPr>
      <w:r>
        <w:t xml:space="preserve">not use and/or disclose PHI except as permitted or required by this Subcontract or as otherwise Required by Law, and to the extent that Contractor is to carry out any of the applicable Covered Entity’s obligations under the Privacy Rule, Contractor will comply with the requirements of the Privacy Rule that apply to the Covered Entity in the performance of those obligations; </w:t>
      </w:r>
    </w:p>
    <w:p w14:paraId="6B39164E" w14:textId="77777777" w:rsidR="00F47B60" w:rsidRDefault="00000000">
      <w:pPr>
        <w:numPr>
          <w:ilvl w:val="0"/>
          <w:numId w:val="1"/>
        </w:numPr>
        <w:ind w:right="0" w:hanging="720"/>
      </w:pPr>
      <w:r>
        <w:t xml:space="preserve">implement and use appropriate technical, physical, and administrative safeguards to prevent use and/or disclosure of PHI other than as permitted or required by this Subcontract and, with respect to ePHI, comply with the provisions of the Security Rule applicable to Business Associates; </w:t>
      </w:r>
    </w:p>
    <w:p w14:paraId="081996DD" w14:textId="77777777" w:rsidR="00F47B60" w:rsidRDefault="00000000">
      <w:pPr>
        <w:numPr>
          <w:ilvl w:val="0"/>
          <w:numId w:val="1"/>
        </w:numPr>
        <w:spacing w:after="0"/>
        <w:ind w:right="0" w:hanging="720"/>
      </w:pPr>
      <w:r>
        <w:t>report without unreasonable delay (and at least within five (5) days after discovery) to Company: (</w:t>
      </w:r>
      <w:proofErr w:type="spellStart"/>
      <w:r>
        <w:t>i</w:t>
      </w:r>
      <w:proofErr w:type="spellEnd"/>
      <w:r>
        <w:t xml:space="preserve">) any use and/or disclosure of PHI of which Contractor becomes aware that is not permitted by this Subcontract; and/or </w:t>
      </w:r>
    </w:p>
    <w:p w14:paraId="58BD5EBF" w14:textId="77777777" w:rsidR="00F47B60" w:rsidRDefault="00000000">
      <w:pPr>
        <w:ind w:left="2160" w:right="0" w:firstLine="0"/>
      </w:pPr>
      <w:r>
        <w:t xml:space="preserve">(ii) any Security Incident of which Contractor becomes aware; </w:t>
      </w:r>
    </w:p>
    <w:p w14:paraId="73E8A3A5" w14:textId="77777777" w:rsidR="00F47B60" w:rsidRDefault="00000000">
      <w:pPr>
        <w:numPr>
          <w:ilvl w:val="0"/>
          <w:numId w:val="1"/>
        </w:numPr>
        <w:ind w:right="0" w:hanging="720"/>
      </w:pPr>
      <w:r>
        <w:t xml:space="preserve">without unreasonable delay and in no case later than five (5) calendar days after discovery, Contractor will notify Company of a Breach of any Unsecured PHI all in accordance with 45 C.F.R. § 164.410. </w:t>
      </w:r>
    </w:p>
    <w:p w14:paraId="3EDADE1D" w14:textId="77777777" w:rsidR="00F47B60" w:rsidRDefault="00000000">
      <w:pPr>
        <w:numPr>
          <w:ilvl w:val="0"/>
          <w:numId w:val="1"/>
        </w:numPr>
        <w:ind w:right="0" w:hanging="720"/>
      </w:pPr>
      <w:r>
        <w:t xml:space="preserve">in accordance with 45 C.F.R. § 164.502(e)(1)(ii) and 45 C.F.R. § 164.308(b)(2), ensure that any of its subcontractors that creates, receives, maintains, or transmits PHI agree, in writing, to the same restrictions and conditions on the use and/or disclosure of PHI that apply to Contractor; to the extent that Contractor provides ePHI to a subcontractor, it will require the subcontractor in writing to comply with the Security Rule with respect to that ePHI; </w:t>
      </w:r>
    </w:p>
    <w:p w14:paraId="6D87CB09" w14:textId="77777777" w:rsidR="00F47B60" w:rsidRDefault="00000000">
      <w:pPr>
        <w:numPr>
          <w:ilvl w:val="0"/>
          <w:numId w:val="1"/>
        </w:numPr>
        <w:ind w:right="0" w:hanging="720"/>
      </w:pPr>
      <w:r>
        <w:t xml:space="preserve">If Contractor knows of a pattern of activity or practice of its agent or sub-subcontractor that constitutes a material breach or violation of the Contractor’s obligation under this Subcontract, Contractor will take reasonable steps to cure the breach or end the violation, as applicable, and, </w:t>
      </w:r>
      <w:r>
        <w:lastRenderedPageBreak/>
        <w:t xml:space="preserve">if such steps are unsuccessful, terminate the Subcontract and underlying Agreement, if feasible. </w:t>
      </w:r>
    </w:p>
    <w:p w14:paraId="0D850392" w14:textId="77777777" w:rsidR="00F47B60" w:rsidRDefault="00000000">
      <w:pPr>
        <w:numPr>
          <w:ilvl w:val="0"/>
          <w:numId w:val="1"/>
        </w:numPr>
        <w:ind w:right="0" w:hanging="720"/>
      </w:pPr>
      <w:r>
        <w:t xml:space="preserve">make available its internal practices, books, and records relating to the use and/or disclosure of PHI to the Secretary of the Department of Health and Human Services (“HHS”) for purposes of determining the applicable Covered Entity’s compliance with the Privacy Rule; </w:t>
      </w:r>
    </w:p>
    <w:p w14:paraId="42E6AFB6" w14:textId="77777777" w:rsidR="00F47B60" w:rsidRDefault="00000000">
      <w:pPr>
        <w:numPr>
          <w:ilvl w:val="0"/>
          <w:numId w:val="1"/>
        </w:numPr>
        <w:ind w:right="0" w:hanging="720"/>
      </w:pPr>
      <w:r>
        <w:t xml:space="preserve">within thirty (30) days after receiving a written request from Company or the applicable Covered Entity, make available information necessary for the applicable Covered Entity to make an accounting of disclosures of PHI about an Individual as provided in 45 C.F.R. § 164.528 and when directed by Company or the Covered Entity, make that accounting directly to the Individual; </w:t>
      </w:r>
    </w:p>
    <w:p w14:paraId="26EFB162" w14:textId="77777777" w:rsidR="00F47B60" w:rsidRDefault="00000000">
      <w:pPr>
        <w:numPr>
          <w:ilvl w:val="0"/>
          <w:numId w:val="1"/>
        </w:numPr>
        <w:ind w:right="0" w:hanging="720"/>
      </w:pPr>
      <w:r>
        <w:t xml:space="preserve">mitigate, to the extent practicable, any harmful effect that is known to Contractor of a use and/or disclosure of PHI by Contractor that is not permitted by the requirements of this Subcontract; </w:t>
      </w:r>
    </w:p>
    <w:p w14:paraId="5474D564" w14:textId="77777777" w:rsidR="00F47B60" w:rsidRDefault="00000000">
      <w:pPr>
        <w:numPr>
          <w:ilvl w:val="0"/>
          <w:numId w:val="1"/>
        </w:numPr>
        <w:ind w:right="0" w:hanging="720"/>
      </w:pPr>
      <w:r>
        <w:t xml:space="preserve">in the event that Contractor in connection with the Services uses or maintains a Designated Record Set of information of or about an Individual on behalf of Company, then Contractor will (at the request of Company or the applicable Covered Entity, and in the time and manner designated by Company or the applicable Covered Entity) provide an electronic copy of the PHI, to Company or the applicable Covered Entity or, as directed by Company or the applicable Covered Entity, to an Individual or a third party designated by the Individual, all in accordance with 45 C.F.R. § 164.524; </w:t>
      </w:r>
    </w:p>
    <w:p w14:paraId="212B4089" w14:textId="77777777" w:rsidR="00F47B60" w:rsidRDefault="00000000">
      <w:pPr>
        <w:numPr>
          <w:ilvl w:val="0"/>
          <w:numId w:val="1"/>
        </w:numPr>
        <w:ind w:right="0" w:hanging="720"/>
      </w:pPr>
      <w:r>
        <w:t xml:space="preserve">in the event that Contractor in connection with the Services uses or maintains a Designated Record Set of information of or about an Individual on behalf of Company, then Contractor will make available that information for amendment and incorporate any amendments in accordance with 45 C.F.R. § 164.526. </w:t>
      </w:r>
    </w:p>
    <w:p w14:paraId="13578E21" w14:textId="77777777" w:rsidR="00F47B60" w:rsidRDefault="00000000">
      <w:pPr>
        <w:numPr>
          <w:ilvl w:val="0"/>
          <w:numId w:val="1"/>
        </w:numPr>
        <w:ind w:right="0" w:hanging="720"/>
      </w:pPr>
      <w:r>
        <w:t xml:space="preserve">request, use, and/or disclose only the minimum amount of PHI necessary to accomplish the purpose of the request, use, or disclosure; </w:t>
      </w:r>
    </w:p>
    <w:p w14:paraId="20F450F8" w14:textId="77777777" w:rsidR="00F47B60" w:rsidRDefault="00000000">
      <w:pPr>
        <w:numPr>
          <w:ilvl w:val="0"/>
          <w:numId w:val="1"/>
        </w:numPr>
        <w:ind w:right="0" w:hanging="720"/>
      </w:pPr>
      <w:r>
        <w:t xml:space="preserve">not directly or indirectly receive remuneration in exchange for any PHI as prohibited by 45 C.F.R. § 164.502(a)(5)(ii); and </w:t>
      </w:r>
    </w:p>
    <w:p w14:paraId="57D310C9" w14:textId="77777777" w:rsidR="00F47B60" w:rsidRDefault="00000000">
      <w:pPr>
        <w:numPr>
          <w:ilvl w:val="0"/>
          <w:numId w:val="1"/>
        </w:numPr>
        <w:spacing w:after="259"/>
        <w:ind w:right="0" w:hanging="720"/>
      </w:pPr>
      <w:r>
        <w:t xml:space="preserve">not make or cause to be made communication about a product or service that is prohibited by 45 C.F.R. §§ 164.501 and 164.508(a)(3). </w:t>
      </w:r>
    </w:p>
    <w:p w14:paraId="5737CEED" w14:textId="77777777" w:rsidR="00F47B60" w:rsidRDefault="00000000">
      <w:pPr>
        <w:numPr>
          <w:ilvl w:val="1"/>
          <w:numId w:val="2"/>
        </w:numPr>
        <w:spacing w:after="3" w:line="240" w:lineRule="auto"/>
        <w:ind w:right="0" w:hanging="720"/>
        <w:jc w:val="left"/>
      </w:pPr>
      <w:r>
        <w:t xml:space="preserve">Contractor agrees to assume sole responsibility for compliance with SOC 2 standards as they pertain to all systems, devices, and processes that store, process, or transmit data on behalf of the Company. Contractor shall implement and maintain controls necessary to meet the SOC 2 Trust Services Criteria and must </w:t>
      </w:r>
      <w:r>
        <w:lastRenderedPageBreak/>
        <w:t xml:space="preserve">ensure the confidentiality, integrity, and availability of all data handled under this Agreement. </w:t>
      </w:r>
    </w:p>
    <w:p w14:paraId="130A471F" w14:textId="77777777" w:rsidR="00F47B60" w:rsidRDefault="00000000">
      <w:pPr>
        <w:numPr>
          <w:ilvl w:val="1"/>
          <w:numId w:val="2"/>
        </w:numPr>
        <w:spacing w:after="3" w:line="240" w:lineRule="auto"/>
        <w:ind w:right="0" w:hanging="720"/>
        <w:jc w:val="left"/>
      </w:pPr>
      <w:r>
        <w:t xml:space="preserve">Contractor is responsible for implementing secure access controls and ongoing monitoring of all devices, including laptops and mobile devices, used in connection with Company’s data. Contractor shall ensure that all endpoints are equipped with SOC 2-compliant security measures, including encryption, antivirus protection, and logging capabilities. </w:t>
      </w:r>
    </w:p>
    <w:p w14:paraId="0C572EC1" w14:textId="77777777" w:rsidR="00F47B60" w:rsidRDefault="00000000">
      <w:pPr>
        <w:spacing w:after="5" w:line="259" w:lineRule="auto"/>
        <w:ind w:left="1440" w:right="0" w:firstLine="0"/>
        <w:jc w:val="left"/>
      </w:pPr>
      <w:r>
        <w:t xml:space="preserve"> </w:t>
      </w:r>
    </w:p>
    <w:p w14:paraId="07A96853" w14:textId="77777777" w:rsidR="00F47B60" w:rsidRDefault="00000000">
      <w:pPr>
        <w:numPr>
          <w:ilvl w:val="1"/>
          <w:numId w:val="2"/>
        </w:numPr>
        <w:spacing w:after="3" w:line="240" w:lineRule="auto"/>
        <w:ind w:right="0" w:hanging="720"/>
        <w:jc w:val="left"/>
      </w:pPr>
      <w:r>
        <w:t xml:space="preserve">The Company reserves the right to audit Contractor’s SOC 2 compliance practices annually or as needed. Contractor shall provide, upon request, any SOC 2 Type II audit reports, third-party security assessments, or other compliance documentation demonstrating adherence to SOC 2 standards. </w:t>
      </w:r>
    </w:p>
    <w:p w14:paraId="0913F333" w14:textId="77777777" w:rsidR="00F47B60" w:rsidRDefault="00000000">
      <w:pPr>
        <w:spacing w:after="5" w:line="259" w:lineRule="auto"/>
        <w:ind w:left="1440" w:right="0" w:firstLine="0"/>
        <w:jc w:val="left"/>
      </w:pPr>
      <w:r>
        <w:t xml:space="preserve"> </w:t>
      </w:r>
    </w:p>
    <w:p w14:paraId="5D65A419" w14:textId="77777777" w:rsidR="00F47B60" w:rsidRDefault="00000000">
      <w:pPr>
        <w:numPr>
          <w:ilvl w:val="1"/>
          <w:numId w:val="2"/>
        </w:numPr>
        <w:spacing w:after="3" w:line="240" w:lineRule="auto"/>
        <w:ind w:right="0" w:hanging="720"/>
        <w:jc w:val="left"/>
      </w:pPr>
      <w:r>
        <w:t xml:space="preserve">Contractor shall promptly report any security incidents, unauthorized access, or data breaches involving any data handled under this Agreement, including but not limited to PHI, within 24 hours of discovery. Contractor is solely responsible for all incident response, containment, and remediation efforts necessary to meet SOC 2 compliance standards. </w:t>
      </w:r>
    </w:p>
    <w:p w14:paraId="1F55323E" w14:textId="77777777" w:rsidR="00F47B60" w:rsidRDefault="00000000">
      <w:pPr>
        <w:spacing w:after="9" w:line="259" w:lineRule="auto"/>
        <w:ind w:left="1440" w:right="0" w:firstLine="0"/>
        <w:jc w:val="left"/>
      </w:pPr>
      <w:r>
        <w:t xml:space="preserve"> </w:t>
      </w:r>
    </w:p>
    <w:p w14:paraId="2275423A" w14:textId="77777777" w:rsidR="00F47B60" w:rsidRDefault="00000000">
      <w:pPr>
        <w:pStyle w:val="Heading1"/>
        <w:ind w:left="705" w:hanging="720"/>
      </w:pPr>
      <w:r>
        <w:t xml:space="preserve">OTHER PERMITTED USES AND DISCLOSURES OF PHI </w:t>
      </w:r>
    </w:p>
    <w:p w14:paraId="077A6C69" w14:textId="77777777" w:rsidR="00F47B60" w:rsidRDefault="00000000">
      <w:pPr>
        <w:ind w:left="1435" w:right="0"/>
      </w:pPr>
      <w:r>
        <w:rPr>
          <w:b/>
          <w:color w:val="010000"/>
        </w:rPr>
        <w:t xml:space="preserve">3.1 </w:t>
      </w:r>
      <w:r>
        <w:t xml:space="preserve">Unless otherwise limited herein, in addition to any other uses and/or disclosures permitted or required by this Subcontract, Contractor may: </w:t>
      </w:r>
    </w:p>
    <w:p w14:paraId="7E9DBA9A" w14:textId="77777777" w:rsidR="00F47B60" w:rsidRDefault="00000000">
      <w:pPr>
        <w:numPr>
          <w:ilvl w:val="0"/>
          <w:numId w:val="3"/>
        </w:numPr>
        <w:ind w:right="0" w:hanging="720"/>
      </w:pPr>
      <w:r>
        <w:t>use, and disclose to third parties, the PHI in its possession necessary to perform the Services to Company</w:t>
      </w:r>
      <w:r>
        <w:rPr>
          <w:b/>
        </w:rPr>
        <w:t xml:space="preserve"> </w:t>
      </w:r>
      <w:r>
        <w:t xml:space="preserve">pursuant to the Agreement; and </w:t>
      </w:r>
    </w:p>
    <w:p w14:paraId="040CAA93" w14:textId="77777777" w:rsidR="00F47B60" w:rsidRDefault="00000000">
      <w:pPr>
        <w:numPr>
          <w:ilvl w:val="0"/>
          <w:numId w:val="3"/>
        </w:numPr>
        <w:ind w:right="0" w:hanging="720"/>
      </w:pPr>
      <w:r>
        <w:t xml:space="preserve">use and disclose the PHI in its possession for its proper management and administration or to carry out the legal responsibilities of Contractor, provided that any such disclosures are Required by Law or any third party to which Contractor discloses PHI for those purposes provides written assurances in advance that: </w:t>
      </w:r>
    </w:p>
    <w:p w14:paraId="74F869FE" w14:textId="77777777" w:rsidR="00F47B60" w:rsidRDefault="00000000">
      <w:pPr>
        <w:numPr>
          <w:ilvl w:val="1"/>
          <w:numId w:val="3"/>
        </w:numPr>
        <w:ind w:right="0" w:hanging="720"/>
      </w:pPr>
      <w:r>
        <w:t xml:space="preserve">the information will be held confidentially and used or further disclosed only as Required by Law; </w:t>
      </w:r>
    </w:p>
    <w:p w14:paraId="790735FF" w14:textId="77777777" w:rsidR="00F47B60" w:rsidRDefault="00000000">
      <w:pPr>
        <w:numPr>
          <w:ilvl w:val="1"/>
          <w:numId w:val="3"/>
        </w:numPr>
        <w:ind w:right="0" w:hanging="720"/>
      </w:pPr>
      <w:r>
        <w:t xml:space="preserve">the information will be used only for the purpose for which it was disclosed to the third party; and </w:t>
      </w:r>
    </w:p>
    <w:p w14:paraId="24AF7A3D" w14:textId="77777777" w:rsidR="00F47B60" w:rsidRDefault="00000000">
      <w:pPr>
        <w:numPr>
          <w:ilvl w:val="1"/>
          <w:numId w:val="3"/>
        </w:numPr>
        <w:ind w:right="0" w:hanging="720"/>
      </w:pPr>
      <w:r>
        <w:t xml:space="preserve">the third party will notify Contractor of any instances of which it becomes aware in which the confidentiality of the information has been breached. </w:t>
      </w:r>
    </w:p>
    <w:p w14:paraId="7AF140B6" w14:textId="77777777" w:rsidR="00F47B60" w:rsidRDefault="00000000">
      <w:pPr>
        <w:numPr>
          <w:ilvl w:val="0"/>
          <w:numId w:val="3"/>
        </w:numPr>
        <w:spacing w:after="263"/>
        <w:ind w:right="0" w:hanging="720"/>
      </w:pPr>
      <w:r>
        <w:t xml:space="preserve">perform de-identification of PHI, provided that such de-identification conforms to the requirements of the HIPAA Rules.  Business Associate acknowledges and agrees that de-identified information is not Protected Health Information and that Contractor may use such de-identified information only on Business Associate’s </w:t>
      </w:r>
      <w:proofErr w:type="gramStart"/>
      <w:r>
        <w:t>behalf .</w:t>
      </w:r>
      <w:proofErr w:type="gramEnd"/>
      <w:r>
        <w:t xml:space="preserve"> </w:t>
      </w:r>
    </w:p>
    <w:p w14:paraId="144C7C0F" w14:textId="77777777" w:rsidR="00F47B60" w:rsidRDefault="00000000">
      <w:pPr>
        <w:pStyle w:val="Heading1"/>
        <w:ind w:left="705" w:hanging="720"/>
      </w:pPr>
      <w:r>
        <w:lastRenderedPageBreak/>
        <w:t xml:space="preserve">TERM AND TERMINATION </w:t>
      </w:r>
    </w:p>
    <w:p w14:paraId="553FFB54" w14:textId="77777777" w:rsidR="00F47B60" w:rsidRDefault="00000000">
      <w:pPr>
        <w:ind w:left="1435" w:right="0"/>
      </w:pPr>
      <w:r>
        <w:rPr>
          <w:b/>
          <w:color w:val="010000"/>
        </w:rPr>
        <w:t xml:space="preserve">4.1 </w:t>
      </w:r>
      <w:r>
        <w:rPr>
          <w:b/>
        </w:rPr>
        <w:t>Term.</w:t>
      </w:r>
      <w:r>
        <w:t xml:space="preserve">  The Term of this Subcontract will be effective as of the Effective Date and will terminate upon the final expiration or termination of the Agreement unless earlier terminated in accordance with Section 4.2 of this Subcontract. </w:t>
      </w:r>
    </w:p>
    <w:p w14:paraId="1299A1FB" w14:textId="77777777" w:rsidR="00F47B60" w:rsidRDefault="00000000">
      <w:pPr>
        <w:ind w:left="1435" w:right="0"/>
      </w:pPr>
      <w:r>
        <w:rPr>
          <w:b/>
          <w:color w:val="010000"/>
        </w:rPr>
        <w:t xml:space="preserve">4.2 </w:t>
      </w:r>
      <w:r>
        <w:rPr>
          <w:b/>
        </w:rPr>
        <w:t>Termination.</w:t>
      </w:r>
      <w:r>
        <w:t xml:space="preserve">  If either Party knows of a pattern of activity or practice of the other Party that constitutes a material breach or violation of this Subcontract, then the non-breaching Party will provide notice thereof to the other Party.  Such notice will clearly specify the nature of the breach or violation.  Each Party must take reasonable steps to cure the breach or end the violation.  If after thirty (30) days or such longer time specified in writing by the non-breaching Party, the non-breaching Party reasonably determines that such steps are unsuccessful in curing the breach or ending the violation, then the non-breaching Party may terminate this Subcontract and the Agreement. </w:t>
      </w:r>
    </w:p>
    <w:p w14:paraId="2AE7D335" w14:textId="77777777" w:rsidR="00F47B60" w:rsidRDefault="00000000">
      <w:pPr>
        <w:spacing w:after="263"/>
        <w:ind w:left="1435" w:right="0"/>
      </w:pPr>
      <w:r>
        <w:rPr>
          <w:b/>
          <w:color w:val="010000"/>
        </w:rPr>
        <w:t xml:space="preserve">4.3 </w:t>
      </w:r>
      <w:r>
        <w:rPr>
          <w:b/>
        </w:rPr>
        <w:t>Effect of Termination or Expiration.</w:t>
      </w:r>
      <w:r>
        <w:t xml:space="preserve">  Within thirty (30) days after the termination or expiration of this Subcontract, Contractor will return or destroy all PHI, if feasible to do so, including all PHI in possession of Contractor’s subcontractors.  If return or destruction of the PHI is not feasible, Contractor will notify Company in writing of the reasons return or destruction is not feasible and, if Company agrees, Contractor will extend any and all protections, limitations and restrictions contained in this Subcontract to Contractor’s use and/or disclosure of any PHI retained after the termination or expiration of this Subcontract, and to limit any further uses and/or disclosures solely to the purposes that make return or destruction of the PHI infeasible. </w:t>
      </w:r>
    </w:p>
    <w:p w14:paraId="1A9E5480" w14:textId="77777777" w:rsidR="00F47B60" w:rsidRDefault="00000000">
      <w:pPr>
        <w:pStyle w:val="Heading1"/>
        <w:ind w:left="705" w:hanging="720"/>
      </w:pPr>
      <w:r>
        <w:t xml:space="preserve">MISCELLANEOUS </w:t>
      </w:r>
    </w:p>
    <w:p w14:paraId="471C6779" w14:textId="77777777" w:rsidR="00F47B60" w:rsidRDefault="00000000">
      <w:pPr>
        <w:spacing w:after="261"/>
        <w:ind w:left="1435" w:right="0"/>
      </w:pPr>
      <w:r>
        <w:rPr>
          <w:b/>
          <w:color w:val="010000"/>
        </w:rPr>
        <w:t xml:space="preserve">5.1 </w:t>
      </w:r>
      <w:r>
        <w:rPr>
          <w:b/>
        </w:rPr>
        <w:t>Construction of Terms.</w:t>
      </w:r>
      <w:r>
        <w:t xml:space="preserve">  To the extent they are not clear, the terms of this Subcontract will be construed to allow for compliance by the Parties and applicable Covered Entities with HIPAA or HITECH and implementing regulations as promulgated and amended from time to time. </w:t>
      </w:r>
    </w:p>
    <w:p w14:paraId="27BA76E8" w14:textId="77777777" w:rsidR="00F47B60" w:rsidRDefault="00000000">
      <w:pPr>
        <w:spacing w:after="239" w:line="240" w:lineRule="auto"/>
        <w:ind w:left="1435" w:right="0"/>
        <w:jc w:val="left"/>
      </w:pPr>
      <w:r>
        <w:rPr>
          <w:b/>
          <w:color w:val="010000"/>
        </w:rPr>
        <w:t xml:space="preserve">5.2 </w:t>
      </w:r>
      <w:r>
        <w:rPr>
          <w:b/>
          <w:color w:val="010000"/>
        </w:rPr>
        <w:tab/>
      </w:r>
      <w:r>
        <w:rPr>
          <w:b/>
        </w:rPr>
        <w:t xml:space="preserve">No </w:t>
      </w:r>
      <w:proofErr w:type="gramStart"/>
      <w:r>
        <w:rPr>
          <w:b/>
        </w:rPr>
        <w:t>Third Party</w:t>
      </w:r>
      <w:proofErr w:type="gramEnd"/>
      <w:r>
        <w:rPr>
          <w:b/>
        </w:rPr>
        <w:t xml:space="preserve"> Beneficiaries.</w:t>
      </w:r>
      <w:r>
        <w:t xml:space="preserve">  Nothing in this Subcontract will confer upon any person other than the Parties and their respective successors or assigns, any rights, remedies, obligations, or liabilities whatsoever. </w:t>
      </w:r>
    </w:p>
    <w:p w14:paraId="377075FA" w14:textId="77777777" w:rsidR="00F47B60" w:rsidRDefault="00000000">
      <w:pPr>
        <w:ind w:left="1435" w:right="0"/>
      </w:pPr>
      <w:r>
        <w:rPr>
          <w:b/>
          <w:color w:val="010000"/>
        </w:rPr>
        <w:t xml:space="preserve">5.3 </w:t>
      </w:r>
      <w:r>
        <w:rPr>
          <w:b/>
        </w:rPr>
        <w:t>Survival.</w:t>
      </w:r>
      <w:r>
        <w:t xml:space="preserve">  Sections 4.3, 5.1, through 5.5, and 5.7 through 5.9 will survive the termination for any reason or expiration of this Subcontract. </w:t>
      </w:r>
    </w:p>
    <w:p w14:paraId="706ACD89" w14:textId="77777777" w:rsidR="00F47B60" w:rsidRDefault="00000000">
      <w:pPr>
        <w:spacing w:after="0"/>
        <w:ind w:left="1435" w:right="0"/>
      </w:pPr>
      <w:r>
        <w:rPr>
          <w:b/>
          <w:color w:val="010000"/>
        </w:rPr>
        <w:t xml:space="preserve">5.4 </w:t>
      </w:r>
      <w:r>
        <w:rPr>
          <w:b/>
        </w:rPr>
        <w:t>Compliance with Laws and Amendments</w:t>
      </w:r>
      <w:r>
        <w:t xml:space="preserve">.  Contractor will comply with all applicable state and federal privacy and security laws relating to the security or confidentiality of PHI it creates, receives, maintains, or transmits on Business Associate’s behalf, including but not limited to the HIPAA Rules and the HITECH Act, as may be amended from time to time. The Parties agree to take such action as is necessary to amend this Subcontract from time to time for the </w:t>
      </w:r>
    </w:p>
    <w:p w14:paraId="4C5BF92E" w14:textId="77777777" w:rsidR="00F47B60" w:rsidRDefault="00000000">
      <w:pPr>
        <w:spacing w:after="3" w:line="259" w:lineRule="auto"/>
        <w:ind w:left="10" w:right="-9" w:hanging="10"/>
        <w:jc w:val="right"/>
      </w:pPr>
      <w:r>
        <w:lastRenderedPageBreak/>
        <w:t xml:space="preserve">Parties to remain in compliance with the standards and requirements of the </w:t>
      </w:r>
    </w:p>
    <w:p w14:paraId="7F732FA6" w14:textId="77777777" w:rsidR="00F47B60" w:rsidRDefault="00000000">
      <w:pPr>
        <w:ind w:left="1440" w:right="0" w:firstLine="0"/>
      </w:pPr>
      <w:r>
        <w:t xml:space="preserve">HIPAA Rules, HITECH Act, and other applicable state and federal privacy laws and regulations relating to the security or confidentiality of PHI. </w:t>
      </w:r>
    </w:p>
    <w:p w14:paraId="00F800A0" w14:textId="77777777" w:rsidR="00F47B60" w:rsidRDefault="00000000">
      <w:pPr>
        <w:spacing w:after="260"/>
        <w:ind w:left="1435" w:right="0"/>
      </w:pPr>
      <w:r>
        <w:rPr>
          <w:b/>
          <w:color w:val="010000"/>
        </w:rPr>
        <w:t xml:space="preserve">5.5 </w:t>
      </w:r>
      <w:r>
        <w:rPr>
          <w:b/>
        </w:rPr>
        <w:t>Governing Law.</w:t>
      </w:r>
      <w:r>
        <w:t xml:space="preserve">  This Subcontract will be governed by and construed in accordance with the laws of California, without regard to its conflict of law provisions. </w:t>
      </w:r>
    </w:p>
    <w:p w14:paraId="453C9D6B" w14:textId="77777777" w:rsidR="00F47B60" w:rsidRDefault="00000000">
      <w:pPr>
        <w:ind w:left="1435" w:right="0"/>
      </w:pPr>
      <w:r>
        <w:rPr>
          <w:b/>
          <w:color w:val="010000"/>
        </w:rPr>
        <w:t xml:space="preserve">5.6 </w:t>
      </w:r>
      <w:r>
        <w:rPr>
          <w:b/>
          <w:color w:val="010000"/>
        </w:rPr>
        <w:tab/>
      </w:r>
      <w:r>
        <w:rPr>
          <w:b/>
        </w:rPr>
        <w:t>Counterparts.</w:t>
      </w:r>
      <w:r>
        <w:t xml:space="preserve">  This Subcontract may be executed in counterparts, each of which will constitute an original and all of which will be one and the same document. </w:t>
      </w:r>
    </w:p>
    <w:p w14:paraId="416FDA8E" w14:textId="77777777" w:rsidR="00F47B60" w:rsidRDefault="00000000">
      <w:pPr>
        <w:ind w:left="1435" w:right="0"/>
      </w:pPr>
      <w:r>
        <w:rPr>
          <w:b/>
          <w:color w:val="010000"/>
        </w:rPr>
        <w:t xml:space="preserve">5.7 </w:t>
      </w:r>
      <w:r>
        <w:rPr>
          <w:b/>
        </w:rPr>
        <w:t>Indemnification.</w:t>
      </w:r>
      <w:r>
        <w:t xml:space="preserve">  To the extent permitted by law, Contractor will indemnify, defend and hold harmless Business Associate from any and all liability, claim, lawsuit, injury, loss, expense or damage resulting from or relating to Contractor’s acts or omissions in connection with the representations, duties and obligations of Contractor under this Subcontract.  This provision will survive the termination of the Subcontract.  To the extent permitted by law, Contractor will indemnify, defend, and hold harmless the Company from any liability, claim, lawsuit, injury, loss, expense, or damage arising out of or relating to Contractor’s failure to maintain SOC 2 compliance as required under this Subcontract. This includes any breach of security affecting data security, confidentiality, or availability. </w:t>
      </w:r>
    </w:p>
    <w:p w14:paraId="7B203FDE" w14:textId="77777777" w:rsidR="00F47B60" w:rsidRDefault="00000000">
      <w:pPr>
        <w:spacing w:after="260"/>
        <w:ind w:left="1435" w:right="0"/>
      </w:pPr>
      <w:r>
        <w:rPr>
          <w:b/>
          <w:color w:val="010000"/>
        </w:rPr>
        <w:t xml:space="preserve">5.8 </w:t>
      </w:r>
      <w:r>
        <w:rPr>
          <w:b/>
        </w:rPr>
        <w:t>Assistance in Litigation.</w:t>
      </w:r>
      <w:r>
        <w:t xml:space="preserve">  Contractor will make itself and any sub-subcontractors, consultants or agents assisting Contractor in the performance of its obligations under the Subcontract available to Business Associate, at no cost to Business Associate, to testify as witnesses, or otherwise, in the event of litigation or administrative proceedings being commenced against Business Associate, its directors, officers or consultants based upon a claim of violation of HIPAA, the HITECH Act, or other laws related to security and privacy, except where Contractor or its sub-subcontractor, consultant, or agent is named as an adverse party. </w:t>
      </w:r>
    </w:p>
    <w:p w14:paraId="1F3F1007" w14:textId="77777777" w:rsidR="00F47B60" w:rsidRDefault="00000000">
      <w:pPr>
        <w:tabs>
          <w:tab w:val="center" w:pos="870"/>
          <w:tab w:val="right" w:pos="9359"/>
        </w:tabs>
        <w:spacing w:after="11"/>
        <w:ind w:left="0" w:right="0" w:firstLine="0"/>
        <w:jc w:val="left"/>
      </w:pPr>
      <w:r>
        <w:rPr>
          <w:rFonts w:ascii="Calibri" w:eastAsia="Calibri" w:hAnsi="Calibri" w:cs="Calibri"/>
          <w:sz w:val="22"/>
        </w:rPr>
        <w:tab/>
      </w:r>
      <w:r>
        <w:rPr>
          <w:b/>
          <w:color w:val="010000"/>
        </w:rPr>
        <w:t xml:space="preserve">5.9 </w:t>
      </w:r>
      <w:r>
        <w:rPr>
          <w:b/>
          <w:color w:val="010000"/>
        </w:rPr>
        <w:tab/>
      </w:r>
      <w:r>
        <w:rPr>
          <w:b/>
        </w:rPr>
        <w:t>Ownership.</w:t>
      </w:r>
      <w:r>
        <w:t xml:space="preserve">  Contractor will not own nor have any ownership right(s) in the </w:t>
      </w:r>
      <w:proofErr w:type="gramStart"/>
      <w:r>
        <w:t>PHI :</w:t>
      </w:r>
      <w:proofErr w:type="gramEnd"/>
      <w:r>
        <w:t xml:space="preserve"> </w:t>
      </w:r>
    </w:p>
    <w:p w14:paraId="51569111" w14:textId="77777777" w:rsidR="00F47B60" w:rsidRDefault="00000000">
      <w:pPr>
        <w:ind w:left="1440" w:right="0" w:firstLine="0"/>
      </w:pPr>
      <w:r>
        <w:t>including but not limited to de-identified PHI which Contractor receives, has access to, or creates, and any information derived from such PHI, in connection with performing functions, activities, or services on Business Associate’s behalf.</w:t>
      </w:r>
    </w:p>
    <w:p w14:paraId="01081FAF" w14:textId="77777777" w:rsidR="00F47B60" w:rsidRDefault="00000000">
      <w:pPr>
        <w:ind w:left="0" w:right="0" w:firstLine="0"/>
      </w:pPr>
      <w:r>
        <w:t xml:space="preserve">IN WITNESS WHEREOF, each of the undersigned has caused this Subcontract to be duly executed in its name and on its behalf effective as of the Effective Date. </w:t>
      </w:r>
    </w:p>
    <w:p w14:paraId="2FB41C45" w14:textId="65E5E45E" w:rsidR="00F47B60" w:rsidRDefault="003B1723">
      <w:pPr>
        <w:tabs>
          <w:tab w:val="center" w:pos="5411"/>
        </w:tabs>
        <w:spacing w:after="481" w:line="265" w:lineRule="auto"/>
        <w:ind w:left="-15" w:right="0" w:firstLine="0"/>
        <w:jc w:val="left"/>
      </w:pPr>
      <w:r>
        <w:rPr>
          <w:b/>
          <w:shd w:val="clear" w:color="auto" w:fill="FFFF00"/>
        </w:rPr>
        <w:t>Robotalker.com LLC</w:t>
      </w:r>
      <w:r w:rsidR="00000000">
        <w:rPr>
          <w:rFonts w:ascii="Arial" w:eastAsia="Arial" w:hAnsi="Arial" w:cs="Arial"/>
          <w:b/>
          <w:sz w:val="20"/>
        </w:rPr>
        <w:t xml:space="preserve"> </w:t>
      </w:r>
      <w:r w:rsidR="00000000">
        <w:rPr>
          <w:rFonts w:ascii="Arial" w:eastAsia="Arial" w:hAnsi="Arial" w:cs="Arial"/>
          <w:b/>
          <w:sz w:val="20"/>
        </w:rPr>
        <w:tab/>
      </w:r>
      <w:proofErr w:type="spellStart"/>
      <w:r w:rsidR="00000000">
        <w:rPr>
          <w:b/>
        </w:rPr>
        <w:t>Vitable</w:t>
      </w:r>
      <w:proofErr w:type="spellEnd"/>
      <w:r w:rsidR="00000000">
        <w:rPr>
          <w:b/>
        </w:rPr>
        <w:t xml:space="preserve">, Inc. </w:t>
      </w:r>
      <w:r w:rsidR="00000000">
        <w:rPr>
          <w:b/>
          <w:i/>
        </w:rPr>
        <w:t xml:space="preserve"> </w:t>
      </w:r>
    </w:p>
    <w:p w14:paraId="2BAD568A" w14:textId="1A1EB45E" w:rsidR="00F47B60" w:rsidRDefault="00000000">
      <w:pPr>
        <w:tabs>
          <w:tab w:val="center" w:pos="4320"/>
          <w:tab w:val="center" w:pos="4958"/>
          <w:tab w:val="center" w:pos="9360"/>
        </w:tabs>
        <w:spacing w:after="475"/>
        <w:ind w:left="0" w:right="0" w:firstLine="0"/>
        <w:jc w:val="left"/>
      </w:pPr>
      <w:r>
        <w:t xml:space="preserve">By:  </w:t>
      </w:r>
      <w:r>
        <w:rPr>
          <w:rFonts w:ascii="Arial" w:eastAsia="Arial" w:hAnsi="Arial" w:cs="Arial"/>
          <w:sz w:val="20"/>
          <w:u w:val="single" w:color="000000"/>
        </w:rPr>
        <w:t xml:space="preserve"> </w:t>
      </w:r>
      <w:r w:rsidR="003B1723" w:rsidRPr="003B1723">
        <w:rPr>
          <w:rFonts w:ascii="Brush Script MT" w:eastAsia="Arial" w:hAnsi="Brush Script MT" w:cs="Arial"/>
          <w:sz w:val="32"/>
          <w:szCs w:val="32"/>
          <w:u w:val="single" w:color="000000"/>
        </w:rPr>
        <w:t>Thomas Mahoney, CEO</w:t>
      </w:r>
      <w:r>
        <w:rPr>
          <w:rFonts w:ascii="Arial" w:eastAsia="Arial" w:hAnsi="Arial" w:cs="Arial"/>
          <w:sz w:val="20"/>
          <w:u w:val="single" w:color="000000"/>
        </w:rPr>
        <w:tab/>
      </w:r>
      <w:r>
        <w:t xml:space="preserve"> </w:t>
      </w:r>
      <w:r>
        <w:tab/>
        <w:t>By:</w:t>
      </w:r>
      <w:r>
        <w:rPr>
          <w:rFonts w:ascii="Arial" w:eastAsia="Arial" w:hAnsi="Arial" w:cs="Arial"/>
          <w:sz w:val="20"/>
          <w:u w:val="single" w:color="000000"/>
        </w:rPr>
        <w:t xml:space="preserve"> </w:t>
      </w:r>
      <w:r>
        <w:rPr>
          <w:rFonts w:ascii="Arial" w:eastAsia="Arial" w:hAnsi="Arial" w:cs="Arial"/>
          <w:sz w:val="20"/>
          <w:u w:val="single" w:color="000000"/>
        </w:rPr>
        <w:tab/>
      </w:r>
      <w:r>
        <w:t xml:space="preserve"> </w:t>
      </w:r>
    </w:p>
    <w:p w14:paraId="33DDB873" w14:textId="77777777" w:rsidR="00F47B60" w:rsidRDefault="00000000">
      <w:pPr>
        <w:spacing w:after="31" w:line="655" w:lineRule="auto"/>
        <w:ind w:left="0" w:right="0" w:firstLine="0"/>
      </w:pPr>
      <w:r>
        <w:t xml:space="preserve">Name: </w:t>
      </w:r>
      <w:r>
        <w:rPr>
          <w:rFonts w:ascii="Arial" w:eastAsia="Arial" w:hAnsi="Arial" w:cs="Arial"/>
          <w:sz w:val="20"/>
          <w:u w:val="single" w:color="000000"/>
        </w:rPr>
        <w:t xml:space="preserve"> </w:t>
      </w:r>
      <w:r>
        <w:t xml:space="preserve"> Name:</w:t>
      </w:r>
      <w:r>
        <w:rPr>
          <w:rFonts w:ascii="Arial" w:eastAsia="Arial" w:hAnsi="Arial" w:cs="Arial"/>
          <w:sz w:val="20"/>
          <w:u w:val="single" w:color="000000"/>
        </w:rPr>
        <w:t xml:space="preserve"> </w:t>
      </w:r>
      <w:r>
        <w:t xml:space="preserve"> Title: </w:t>
      </w:r>
      <w:r>
        <w:rPr>
          <w:rFonts w:ascii="Arial" w:eastAsia="Arial" w:hAnsi="Arial" w:cs="Arial"/>
          <w:sz w:val="20"/>
          <w:u w:val="single" w:color="000000"/>
        </w:rPr>
        <w:t xml:space="preserve"> </w:t>
      </w:r>
      <w:r>
        <w:t xml:space="preserve"> Title:</w:t>
      </w:r>
      <w:r>
        <w:rPr>
          <w:rFonts w:ascii="Arial" w:eastAsia="Arial" w:hAnsi="Arial" w:cs="Arial"/>
          <w:sz w:val="20"/>
          <w:u w:val="single" w:color="000000"/>
        </w:rPr>
        <w:t xml:space="preserve"> </w:t>
      </w:r>
      <w:r>
        <w:rPr>
          <w:rFonts w:ascii="Calibri" w:eastAsia="Calibri" w:hAnsi="Calibri" w:cs="Calibri"/>
          <w:sz w:val="20"/>
        </w:rPr>
        <w:t xml:space="preserve"> </w:t>
      </w:r>
    </w:p>
    <w:p w14:paraId="5BF9DA79" w14:textId="6A360958" w:rsidR="00F47B60" w:rsidRDefault="00000000">
      <w:pPr>
        <w:tabs>
          <w:tab w:val="center" w:pos="4320"/>
          <w:tab w:val="center" w:pos="5045"/>
          <w:tab w:val="center" w:pos="9360"/>
        </w:tabs>
        <w:ind w:left="0" w:right="0" w:firstLine="0"/>
        <w:jc w:val="left"/>
      </w:pPr>
      <w:r>
        <w:t xml:space="preserve">Date: </w:t>
      </w:r>
      <w:r>
        <w:rPr>
          <w:rFonts w:ascii="Arial" w:eastAsia="Arial" w:hAnsi="Arial" w:cs="Arial"/>
          <w:sz w:val="20"/>
          <w:u w:val="single" w:color="000000"/>
        </w:rPr>
        <w:t xml:space="preserve"> </w:t>
      </w:r>
      <w:r w:rsidR="003B1723">
        <w:rPr>
          <w:rFonts w:ascii="Arial" w:eastAsia="Arial" w:hAnsi="Arial" w:cs="Arial"/>
          <w:sz w:val="20"/>
          <w:u w:val="single" w:color="000000"/>
        </w:rPr>
        <w:t>Friday, August 22, 2025______________</w:t>
      </w:r>
      <w:r>
        <w:t xml:space="preserve"> </w:t>
      </w:r>
      <w:r>
        <w:tab/>
        <w:t>Date:</w:t>
      </w:r>
      <w:r>
        <w:rPr>
          <w:rFonts w:ascii="Arial" w:eastAsia="Arial" w:hAnsi="Arial" w:cs="Arial"/>
          <w:sz w:val="20"/>
          <w:u w:val="single" w:color="000000"/>
        </w:rPr>
        <w:t xml:space="preserve"> </w:t>
      </w:r>
      <w:r>
        <w:rPr>
          <w:rFonts w:ascii="Arial" w:eastAsia="Arial" w:hAnsi="Arial" w:cs="Arial"/>
          <w:sz w:val="20"/>
          <w:u w:val="single" w:color="000000"/>
        </w:rPr>
        <w:tab/>
      </w:r>
      <w:r>
        <w:t xml:space="preserve"> </w:t>
      </w:r>
    </w:p>
    <w:sectPr w:rsidR="00F47B60">
      <w:footerReference w:type="even" r:id="rId7"/>
      <w:footerReference w:type="default" r:id="rId8"/>
      <w:footerReference w:type="first" r:id="rId9"/>
      <w:pgSz w:w="12240" w:h="15840"/>
      <w:pgMar w:top="1498" w:right="1441" w:bottom="72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54BB3E" w14:textId="77777777" w:rsidR="00E51846" w:rsidRDefault="00E51846">
      <w:pPr>
        <w:spacing w:after="0" w:line="240" w:lineRule="auto"/>
      </w:pPr>
      <w:r>
        <w:separator/>
      </w:r>
    </w:p>
  </w:endnote>
  <w:endnote w:type="continuationSeparator" w:id="0">
    <w:p w14:paraId="53617079" w14:textId="77777777" w:rsidR="00E51846" w:rsidRDefault="00E518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547BF" w14:textId="77777777" w:rsidR="00F47B60" w:rsidRDefault="00000000">
    <w:pPr>
      <w:tabs>
        <w:tab w:val="center" w:pos="4680"/>
      </w:tabs>
      <w:spacing w:after="0" w:line="259" w:lineRule="auto"/>
      <w:ind w:left="0" w:right="0" w:firstLine="0"/>
      <w:jc w:val="left"/>
    </w:pPr>
    <w:r>
      <w:t xml:space="preserve"> </w:t>
    </w:r>
    <w:r>
      <w:tab/>
    </w:r>
    <w:r>
      <w:fldChar w:fldCharType="begin"/>
    </w:r>
    <w:r>
      <w:instrText xml:space="preserve"> PAGE   \* MERGEFORMAT </w:instrText>
    </w:r>
    <w:r>
      <w:fldChar w:fldCharType="separate"/>
    </w:r>
    <w:r>
      <w:t>2</w:t>
    </w:r>
    <w:r>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6B13E" w14:textId="77777777" w:rsidR="00F47B60" w:rsidRDefault="00000000">
    <w:pPr>
      <w:tabs>
        <w:tab w:val="center" w:pos="4680"/>
      </w:tabs>
      <w:spacing w:after="0" w:line="259" w:lineRule="auto"/>
      <w:ind w:left="0" w:right="0" w:firstLine="0"/>
      <w:jc w:val="left"/>
    </w:pPr>
    <w:r>
      <w:t xml:space="preserve"> </w:t>
    </w:r>
    <w:r>
      <w:tab/>
    </w:r>
    <w:r>
      <w:fldChar w:fldCharType="begin"/>
    </w:r>
    <w:r>
      <w:instrText xml:space="preserve"> PAGE   \* MERGEFORMAT </w:instrText>
    </w:r>
    <w:r>
      <w:fldChar w:fldCharType="separate"/>
    </w:r>
    <w:r>
      <w:t>2</w: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6D7B6" w14:textId="77777777" w:rsidR="00F47B60" w:rsidRDefault="00F47B60">
    <w:pPr>
      <w:spacing w:after="160" w:line="259" w:lineRule="auto"/>
      <w:ind w:left="0" w:righ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F7AA15" w14:textId="77777777" w:rsidR="00E51846" w:rsidRDefault="00E51846">
      <w:pPr>
        <w:spacing w:after="0" w:line="240" w:lineRule="auto"/>
      </w:pPr>
      <w:r>
        <w:separator/>
      </w:r>
    </w:p>
  </w:footnote>
  <w:footnote w:type="continuationSeparator" w:id="0">
    <w:p w14:paraId="1FA768EC" w14:textId="77777777" w:rsidR="00E51846" w:rsidRDefault="00E5184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961E85"/>
    <w:multiLevelType w:val="hybridMultilevel"/>
    <w:tmpl w:val="2E8403F4"/>
    <w:lvl w:ilvl="0" w:tplc="ED2E9E2C">
      <w:start w:val="1"/>
      <w:numFmt w:val="lowerLetter"/>
      <w:lvlText w:val="(%1)"/>
      <w:lvlJc w:val="left"/>
      <w:pPr>
        <w:ind w:left="2160"/>
      </w:pPr>
      <w:rPr>
        <w:rFonts w:ascii="Times New Roman" w:eastAsia="Times New Roman" w:hAnsi="Times New Roman" w:cs="Times New Roman"/>
        <w:b w:val="0"/>
        <w:i w:val="0"/>
        <w:strike w:val="0"/>
        <w:dstrike w:val="0"/>
        <w:color w:val="010000"/>
        <w:sz w:val="24"/>
        <w:szCs w:val="24"/>
        <w:u w:val="none" w:color="000000"/>
        <w:bdr w:val="none" w:sz="0" w:space="0" w:color="auto"/>
        <w:shd w:val="clear" w:color="auto" w:fill="auto"/>
        <w:vertAlign w:val="baseline"/>
      </w:rPr>
    </w:lvl>
    <w:lvl w:ilvl="1" w:tplc="6638CECC">
      <w:start w:val="1"/>
      <w:numFmt w:val="lowerRoman"/>
      <w:lvlText w:val="(%2)"/>
      <w:lvlJc w:val="left"/>
      <w:pPr>
        <w:ind w:left="2880"/>
      </w:pPr>
      <w:rPr>
        <w:rFonts w:ascii="Times New Roman" w:eastAsia="Times New Roman" w:hAnsi="Times New Roman" w:cs="Times New Roman"/>
        <w:b w:val="0"/>
        <w:i w:val="0"/>
        <w:strike w:val="0"/>
        <w:dstrike w:val="0"/>
        <w:color w:val="010000"/>
        <w:sz w:val="24"/>
        <w:szCs w:val="24"/>
        <w:u w:val="none" w:color="000000"/>
        <w:bdr w:val="none" w:sz="0" w:space="0" w:color="auto"/>
        <w:shd w:val="clear" w:color="auto" w:fill="auto"/>
        <w:vertAlign w:val="baseline"/>
      </w:rPr>
    </w:lvl>
    <w:lvl w:ilvl="2" w:tplc="0108E126">
      <w:start w:val="1"/>
      <w:numFmt w:val="lowerRoman"/>
      <w:lvlText w:val="%3"/>
      <w:lvlJc w:val="left"/>
      <w:pPr>
        <w:ind w:left="3240"/>
      </w:pPr>
      <w:rPr>
        <w:rFonts w:ascii="Times New Roman" w:eastAsia="Times New Roman" w:hAnsi="Times New Roman" w:cs="Times New Roman"/>
        <w:b w:val="0"/>
        <w:i w:val="0"/>
        <w:strike w:val="0"/>
        <w:dstrike w:val="0"/>
        <w:color w:val="010000"/>
        <w:sz w:val="24"/>
        <w:szCs w:val="24"/>
        <w:u w:val="none" w:color="000000"/>
        <w:bdr w:val="none" w:sz="0" w:space="0" w:color="auto"/>
        <w:shd w:val="clear" w:color="auto" w:fill="auto"/>
        <w:vertAlign w:val="baseline"/>
      </w:rPr>
    </w:lvl>
    <w:lvl w:ilvl="3" w:tplc="E8FCBC48">
      <w:start w:val="1"/>
      <w:numFmt w:val="decimal"/>
      <w:lvlText w:val="%4"/>
      <w:lvlJc w:val="left"/>
      <w:pPr>
        <w:ind w:left="3960"/>
      </w:pPr>
      <w:rPr>
        <w:rFonts w:ascii="Times New Roman" w:eastAsia="Times New Roman" w:hAnsi="Times New Roman" w:cs="Times New Roman"/>
        <w:b w:val="0"/>
        <w:i w:val="0"/>
        <w:strike w:val="0"/>
        <w:dstrike w:val="0"/>
        <w:color w:val="010000"/>
        <w:sz w:val="24"/>
        <w:szCs w:val="24"/>
        <w:u w:val="none" w:color="000000"/>
        <w:bdr w:val="none" w:sz="0" w:space="0" w:color="auto"/>
        <w:shd w:val="clear" w:color="auto" w:fill="auto"/>
        <w:vertAlign w:val="baseline"/>
      </w:rPr>
    </w:lvl>
    <w:lvl w:ilvl="4" w:tplc="B20049A6">
      <w:start w:val="1"/>
      <w:numFmt w:val="lowerLetter"/>
      <w:lvlText w:val="%5"/>
      <w:lvlJc w:val="left"/>
      <w:pPr>
        <w:ind w:left="4680"/>
      </w:pPr>
      <w:rPr>
        <w:rFonts w:ascii="Times New Roman" w:eastAsia="Times New Roman" w:hAnsi="Times New Roman" w:cs="Times New Roman"/>
        <w:b w:val="0"/>
        <w:i w:val="0"/>
        <w:strike w:val="0"/>
        <w:dstrike w:val="0"/>
        <w:color w:val="010000"/>
        <w:sz w:val="24"/>
        <w:szCs w:val="24"/>
        <w:u w:val="none" w:color="000000"/>
        <w:bdr w:val="none" w:sz="0" w:space="0" w:color="auto"/>
        <w:shd w:val="clear" w:color="auto" w:fill="auto"/>
        <w:vertAlign w:val="baseline"/>
      </w:rPr>
    </w:lvl>
    <w:lvl w:ilvl="5" w:tplc="EFE6FE7E">
      <w:start w:val="1"/>
      <w:numFmt w:val="lowerRoman"/>
      <w:lvlText w:val="%6"/>
      <w:lvlJc w:val="left"/>
      <w:pPr>
        <w:ind w:left="5400"/>
      </w:pPr>
      <w:rPr>
        <w:rFonts w:ascii="Times New Roman" w:eastAsia="Times New Roman" w:hAnsi="Times New Roman" w:cs="Times New Roman"/>
        <w:b w:val="0"/>
        <w:i w:val="0"/>
        <w:strike w:val="0"/>
        <w:dstrike w:val="0"/>
        <w:color w:val="010000"/>
        <w:sz w:val="24"/>
        <w:szCs w:val="24"/>
        <w:u w:val="none" w:color="000000"/>
        <w:bdr w:val="none" w:sz="0" w:space="0" w:color="auto"/>
        <w:shd w:val="clear" w:color="auto" w:fill="auto"/>
        <w:vertAlign w:val="baseline"/>
      </w:rPr>
    </w:lvl>
    <w:lvl w:ilvl="6" w:tplc="C8B69598">
      <w:start w:val="1"/>
      <w:numFmt w:val="decimal"/>
      <w:lvlText w:val="%7"/>
      <w:lvlJc w:val="left"/>
      <w:pPr>
        <w:ind w:left="6120"/>
      </w:pPr>
      <w:rPr>
        <w:rFonts w:ascii="Times New Roman" w:eastAsia="Times New Roman" w:hAnsi="Times New Roman" w:cs="Times New Roman"/>
        <w:b w:val="0"/>
        <w:i w:val="0"/>
        <w:strike w:val="0"/>
        <w:dstrike w:val="0"/>
        <w:color w:val="010000"/>
        <w:sz w:val="24"/>
        <w:szCs w:val="24"/>
        <w:u w:val="none" w:color="000000"/>
        <w:bdr w:val="none" w:sz="0" w:space="0" w:color="auto"/>
        <w:shd w:val="clear" w:color="auto" w:fill="auto"/>
        <w:vertAlign w:val="baseline"/>
      </w:rPr>
    </w:lvl>
    <w:lvl w:ilvl="7" w:tplc="70EC72AE">
      <w:start w:val="1"/>
      <w:numFmt w:val="lowerLetter"/>
      <w:lvlText w:val="%8"/>
      <w:lvlJc w:val="left"/>
      <w:pPr>
        <w:ind w:left="6840"/>
      </w:pPr>
      <w:rPr>
        <w:rFonts w:ascii="Times New Roman" w:eastAsia="Times New Roman" w:hAnsi="Times New Roman" w:cs="Times New Roman"/>
        <w:b w:val="0"/>
        <w:i w:val="0"/>
        <w:strike w:val="0"/>
        <w:dstrike w:val="0"/>
        <w:color w:val="010000"/>
        <w:sz w:val="24"/>
        <w:szCs w:val="24"/>
        <w:u w:val="none" w:color="000000"/>
        <w:bdr w:val="none" w:sz="0" w:space="0" w:color="auto"/>
        <w:shd w:val="clear" w:color="auto" w:fill="auto"/>
        <w:vertAlign w:val="baseline"/>
      </w:rPr>
    </w:lvl>
    <w:lvl w:ilvl="8" w:tplc="EBBC3670">
      <w:start w:val="1"/>
      <w:numFmt w:val="lowerRoman"/>
      <w:lvlText w:val="%9"/>
      <w:lvlJc w:val="left"/>
      <w:pPr>
        <w:ind w:left="7560"/>
      </w:pPr>
      <w:rPr>
        <w:rFonts w:ascii="Times New Roman" w:eastAsia="Times New Roman" w:hAnsi="Times New Roman" w:cs="Times New Roman"/>
        <w:b w:val="0"/>
        <w:i w:val="0"/>
        <w:strike w:val="0"/>
        <w:dstrike w:val="0"/>
        <w:color w:val="010000"/>
        <w:sz w:val="24"/>
        <w:szCs w:val="24"/>
        <w:u w:val="none" w:color="000000"/>
        <w:bdr w:val="none" w:sz="0" w:space="0" w:color="auto"/>
        <w:shd w:val="clear" w:color="auto" w:fill="auto"/>
        <w:vertAlign w:val="baseline"/>
      </w:rPr>
    </w:lvl>
  </w:abstractNum>
  <w:abstractNum w:abstractNumId="1" w15:restartNumberingAfterBreak="0">
    <w:nsid w:val="347F24F1"/>
    <w:multiLevelType w:val="multilevel"/>
    <w:tmpl w:val="C56EA002"/>
    <w:lvl w:ilvl="0">
      <w:start w:val="2"/>
      <w:numFmt w:val="decimal"/>
      <w:lvlText w:val="%1"/>
      <w:lvlJc w:val="left"/>
      <w:pPr>
        <w:ind w:left="360"/>
      </w:pPr>
      <w:rPr>
        <w:rFonts w:ascii="Times New Roman" w:eastAsia="Times New Roman" w:hAnsi="Times New Roman" w:cs="Times New Roman"/>
        <w:b/>
        <w:bCs/>
        <w:i w:val="0"/>
        <w:strike w:val="0"/>
        <w:dstrike w:val="0"/>
        <w:color w:val="010000"/>
        <w:sz w:val="24"/>
        <w:szCs w:val="24"/>
        <w:u w:val="none" w:color="000000"/>
        <w:bdr w:val="none" w:sz="0" w:space="0" w:color="auto"/>
        <w:shd w:val="clear" w:color="auto" w:fill="auto"/>
        <w:vertAlign w:val="baseline"/>
      </w:rPr>
    </w:lvl>
    <w:lvl w:ilvl="1">
      <w:start w:val="2"/>
      <w:numFmt w:val="decimal"/>
      <w:lvlRestart w:val="0"/>
      <w:lvlText w:val="%1.%2"/>
      <w:lvlJc w:val="left"/>
      <w:pPr>
        <w:ind w:left="1425"/>
      </w:pPr>
      <w:rPr>
        <w:rFonts w:ascii="Times New Roman" w:eastAsia="Times New Roman" w:hAnsi="Times New Roman" w:cs="Times New Roman"/>
        <w:b/>
        <w:bCs/>
        <w:i w:val="0"/>
        <w:strike w:val="0"/>
        <w:dstrike w:val="0"/>
        <w:color w:val="010000"/>
        <w:sz w:val="24"/>
        <w:szCs w:val="24"/>
        <w:u w:val="none" w:color="000000"/>
        <w:bdr w:val="none" w:sz="0" w:space="0" w:color="auto"/>
        <w:shd w:val="clear" w:color="auto" w:fill="auto"/>
        <w:vertAlign w:val="baseline"/>
      </w:rPr>
    </w:lvl>
    <w:lvl w:ilvl="2">
      <w:start w:val="1"/>
      <w:numFmt w:val="lowerRoman"/>
      <w:lvlText w:val="%3"/>
      <w:lvlJc w:val="left"/>
      <w:pPr>
        <w:ind w:left="1620"/>
      </w:pPr>
      <w:rPr>
        <w:rFonts w:ascii="Times New Roman" w:eastAsia="Times New Roman" w:hAnsi="Times New Roman" w:cs="Times New Roman"/>
        <w:b/>
        <w:bCs/>
        <w:i w:val="0"/>
        <w:strike w:val="0"/>
        <w:dstrike w:val="0"/>
        <w:color w:val="010000"/>
        <w:sz w:val="24"/>
        <w:szCs w:val="24"/>
        <w:u w:val="none" w:color="000000"/>
        <w:bdr w:val="none" w:sz="0" w:space="0" w:color="auto"/>
        <w:shd w:val="clear" w:color="auto" w:fill="auto"/>
        <w:vertAlign w:val="baseline"/>
      </w:rPr>
    </w:lvl>
    <w:lvl w:ilvl="3">
      <w:start w:val="1"/>
      <w:numFmt w:val="decimal"/>
      <w:lvlText w:val="%4"/>
      <w:lvlJc w:val="left"/>
      <w:pPr>
        <w:ind w:left="2340"/>
      </w:pPr>
      <w:rPr>
        <w:rFonts w:ascii="Times New Roman" w:eastAsia="Times New Roman" w:hAnsi="Times New Roman" w:cs="Times New Roman"/>
        <w:b/>
        <w:bCs/>
        <w:i w:val="0"/>
        <w:strike w:val="0"/>
        <w:dstrike w:val="0"/>
        <w:color w:val="010000"/>
        <w:sz w:val="24"/>
        <w:szCs w:val="24"/>
        <w:u w:val="none" w:color="000000"/>
        <w:bdr w:val="none" w:sz="0" w:space="0" w:color="auto"/>
        <w:shd w:val="clear" w:color="auto" w:fill="auto"/>
        <w:vertAlign w:val="baseline"/>
      </w:rPr>
    </w:lvl>
    <w:lvl w:ilvl="4">
      <w:start w:val="1"/>
      <w:numFmt w:val="lowerLetter"/>
      <w:lvlText w:val="%5"/>
      <w:lvlJc w:val="left"/>
      <w:pPr>
        <w:ind w:left="3060"/>
      </w:pPr>
      <w:rPr>
        <w:rFonts w:ascii="Times New Roman" w:eastAsia="Times New Roman" w:hAnsi="Times New Roman" w:cs="Times New Roman"/>
        <w:b/>
        <w:bCs/>
        <w:i w:val="0"/>
        <w:strike w:val="0"/>
        <w:dstrike w:val="0"/>
        <w:color w:val="010000"/>
        <w:sz w:val="24"/>
        <w:szCs w:val="24"/>
        <w:u w:val="none" w:color="000000"/>
        <w:bdr w:val="none" w:sz="0" w:space="0" w:color="auto"/>
        <w:shd w:val="clear" w:color="auto" w:fill="auto"/>
        <w:vertAlign w:val="baseline"/>
      </w:rPr>
    </w:lvl>
    <w:lvl w:ilvl="5">
      <w:start w:val="1"/>
      <w:numFmt w:val="lowerRoman"/>
      <w:lvlText w:val="%6"/>
      <w:lvlJc w:val="left"/>
      <w:pPr>
        <w:ind w:left="3780"/>
      </w:pPr>
      <w:rPr>
        <w:rFonts w:ascii="Times New Roman" w:eastAsia="Times New Roman" w:hAnsi="Times New Roman" w:cs="Times New Roman"/>
        <w:b/>
        <w:bCs/>
        <w:i w:val="0"/>
        <w:strike w:val="0"/>
        <w:dstrike w:val="0"/>
        <w:color w:val="010000"/>
        <w:sz w:val="24"/>
        <w:szCs w:val="24"/>
        <w:u w:val="none" w:color="000000"/>
        <w:bdr w:val="none" w:sz="0" w:space="0" w:color="auto"/>
        <w:shd w:val="clear" w:color="auto" w:fill="auto"/>
        <w:vertAlign w:val="baseline"/>
      </w:rPr>
    </w:lvl>
    <w:lvl w:ilvl="6">
      <w:start w:val="1"/>
      <w:numFmt w:val="decimal"/>
      <w:lvlText w:val="%7"/>
      <w:lvlJc w:val="left"/>
      <w:pPr>
        <w:ind w:left="4500"/>
      </w:pPr>
      <w:rPr>
        <w:rFonts w:ascii="Times New Roman" w:eastAsia="Times New Roman" w:hAnsi="Times New Roman" w:cs="Times New Roman"/>
        <w:b/>
        <w:bCs/>
        <w:i w:val="0"/>
        <w:strike w:val="0"/>
        <w:dstrike w:val="0"/>
        <w:color w:val="010000"/>
        <w:sz w:val="24"/>
        <w:szCs w:val="24"/>
        <w:u w:val="none" w:color="000000"/>
        <w:bdr w:val="none" w:sz="0" w:space="0" w:color="auto"/>
        <w:shd w:val="clear" w:color="auto" w:fill="auto"/>
        <w:vertAlign w:val="baseline"/>
      </w:rPr>
    </w:lvl>
    <w:lvl w:ilvl="7">
      <w:start w:val="1"/>
      <w:numFmt w:val="lowerLetter"/>
      <w:lvlText w:val="%8"/>
      <w:lvlJc w:val="left"/>
      <w:pPr>
        <w:ind w:left="5220"/>
      </w:pPr>
      <w:rPr>
        <w:rFonts w:ascii="Times New Roman" w:eastAsia="Times New Roman" w:hAnsi="Times New Roman" w:cs="Times New Roman"/>
        <w:b/>
        <w:bCs/>
        <w:i w:val="0"/>
        <w:strike w:val="0"/>
        <w:dstrike w:val="0"/>
        <w:color w:val="010000"/>
        <w:sz w:val="24"/>
        <w:szCs w:val="24"/>
        <w:u w:val="none" w:color="000000"/>
        <w:bdr w:val="none" w:sz="0" w:space="0" w:color="auto"/>
        <w:shd w:val="clear" w:color="auto" w:fill="auto"/>
        <w:vertAlign w:val="baseline"/>
      </w:rPr>
    </w:lvl>
    <w:lvl w:ilvl="8">
      <w:start w:val="1"/>
      <w:numFmt w:val="lowerRoman"/>
      <w:lvlText w:val="%9"/>
      <w:lvlJc w:val="left"/>
      <w:pPr>
        <w:ind w:left="5940"/>
      </w:pPr>
      <w:rPr>
        <w:rFonts w:ascii="Times New Roman" w:eastAsia="Times New Roman" w:hAnsi="Times New Roman" w:cs="Times New Roman"/>
        <w:b/>
        <w:bCs/>
        <w:i w:val="0"/>
        <w:strike w:val="0"/>
        <w:dstrike w:val="0"/>
        <w:color w:val="010000"/>
        <w:sz w:val="24"/>
        <w:szCs w:val="24"/>
        <w:u w:val="none" w:color="000000"/>
        <w:bdr w:val="none" w:sz="0" w:space="0" w:color="auto"/>
        <w:shd w:val="clear" w:color="auto" w:fill="auto"/>
        <w:vertAlign w:val="baseline"/>
      </w:rPr>
    </w:lvl>
  </w:abstractNum>
  <w:abstractNum w:abstractNumId="2" w15:restartNumberingAfterBreak="0">
    <w:nsid w:val="67C54120"/>
    <w:multiLevelType w:val="hybridMultilevel"/>
    <w:tmpl w:val="431CD8F2"/>
    <w:lvl w:ilvl="0" w:tplc="539AD48A">
      <w:start w:val="1"/>
      <w:numFmt w:val="decimal"/>
      <w:pStyle w:val="Heading1"/>
      <w:lvlText w:val="%1."/>
      <w:lvlJc w:val="left"/>
      <w:pPr>
        <w:ind w:left="0"/>
      </w:pPr>
      <w:rPr>
        <w:rFonts w:ascii="Times New Roman" w:eastAsia="Times New Roman" w:hAnsi="Times New Roman" w:cs="Times New Roman"/>
        <w:b/>
        <w:bCs/>
        <w:i w:val="0"/>
        <w:strike w:val="0"/>
        <w:dstrike w:val="0"/>
        <w:color w:val="010000"/>
        <w:sz w:val="24"/>
        <w:szCs w:val="24"/>
        <w:u w:val="none" w:color="000000"/>
        <w:bdr w:val="none" w:sz="0" w:space="0" w:color="auto"/>
        <w:shd w:val="clear" w:color="auto" w:fill="auto"/>
        <w:vertAlign w:val="baseline"/>
      </w:rPr>
    </w:lvl>
    <w:lvl w:ilvl="1" w:tplc="3C10C22E">
      <w:start w:val="1"/>
      <w:numFmt w:val="lowerLetter"/>
      <w:lvlText w:val="%2"/>
      <w:lvlJc w:val="left"/>
      <w:pPr>
        <w:ind w:left="1080"/>
      </w:pPr>
      <w:rPr>
        <w:rFonts w:ascii="Times New Roman" w:eastAsia="Times New Roman" w:hAnsi="Times New Roman" w:cs="Times New Roman"/>
        <w:b/>
        <w:bCs/>
        <w:i w:val="0"/>
        <w:strike w:val="0"/>
        <w:dstrike w:val="0"/>
        <w:color w:val="010000"/>
        <w:sz w:val="24"/>
        <w:szCs w:val="24"/>
        <w:u w:val="none" w:color="000000"/>
        <w:bdr w:val="none" w:sz="0" w:space="0" w:color="auto"/>
        <w:shd w:val="clear" w:color="auto" w:fill="auto"/>
        <w:vertAlign w:val="baseline"/>
      </w:rPr>
    </w:lvl>
    <w:lvl w:ilvl="2" w:tplc="F6D00D06">
      <w:start w:val="1"/>
      <w:numFmt w:val="lowerRoman"/>
      <w:lvlText w:val="%3"/>
      <w:lvlJc w:val="left"/>
      <w:pPr>
        <w:ind w:left="1800"/>
      </w:pPr>
      <w:rPr>
        <w:rFonts w:ascii="Times New Roman" w:eastAsia="Times New Roman" w:hAnsi="Times New Roman" w:cs="Times New Roman"/>
        <w:b/>
        <w:bCs/>
        <w:i w:val="0"/>
        <w:strike w:val="0"/>
        <w:dstrike w:val="0"/>
        <w:color w:val="010000"/>
        <w:sz w:val="24"/>
        <w:szCs w:val="24"/>
        <w:u w:val="none" w:color="000000"/>
        <w:bdr w:val="none" w:sz="0" w:space="0" w:color="auto"/>
        <w:shd w:val="clear" w:color="auto" w:fill="auto"/>
        <w:vertAlign w:val="baseline"/>
      </w:rPr>
    </w:lvl>
    <w:lvl w:ilvl="3" w:tplc="F112F6B2">
      <w:start w:val="1"/>
      <w:numFmt w:val="decimal"/>
      <w:lvlText w:val="%4"/>
      <w:lvlJc w:val="left"/>
      <w:pPr>
        <w:ind w:left="2520"/>
      </w:pPr>
      <w:rPr>
        <w:rFonts w:ascii="Times New Roman" w:eastAsia="Times New Roman" w:hAnsi="Times New Roman" w:cs="Times New Roman"/>
        <w:b/>
        <w:bCs/>
        <w:i w:val="0"/>
        <w:strike w:val="0"/>
        <w:dstrike w:val="0"/>
        <w:color w:val="010000"/>
        <w:sz w:val="24"/>
        <w:szCs w:val="24"/>
        <w:u w:val="none" w:color="000000"/>
        <w:bdr w:val="none" w:sz="0" w:space="0" w:color="auto"/>
        <w:shd w:val="clear" w:color="auto" w:fill="auto"/>
        <w:vertAlign w:val="baseline"/>
      </w:rPr>
    </w:lvl>
    <w:lvl w:ilvl="4" w:tplc="A7E46822">
      <w:start w:val="1"/>
      <w:numFmt w:val="lowerLetter"/>
      <w:lvlText w:val="%5"/>
      <w:lvlJc w:val="left"/>
      <w:pPr>
        <w:ind w:left="3240"/>
      </w:pPr>
      <w:rPr>
        <w:rFonts w:ascii="Times New Roman" w:eastAsia="Times New Roman" w:hAnsi="Times New Roman" w:cs="Times New Roman"/>
        <w:b/>
        <w:bCs/>
        <w:i w:val="0"/>
        <w:strike w:val="0"/>
        <w:dstrike w:val="0"/>
        <w:color w:val="010000"/>
        <w:sz w:val="24"/>
        <w:szCs w:val="24"/>
        <w:u w:val="none" w:color="000000"/>
        <w:bdr w:val="none" w:sz="0" w:space="0" w:color="auto"/>
        <w:shd w:val="clear" w:color="auto" w:fill="auto"/>
        <w:vertAlign w:val="baseline"/>
      </w:rPr>
    </w:lvl>
    <w:lvl w:ilvl="5" w:tplc="5B8ECEC8">
      <w:start w:val="1"/>
      <w:numFmt w:val="lowerRoman"/>
      <w:lvlText w:val="%6"/>
      <w:lvlJc w:val="left"/>
      <w:pPr>
        <w:ind w:left="3960"/>
      </w:pPr>
      <w:rPr>
        <w:rFonts w:ascii="Times New Roman" w:eastAsia="Times New Roman" w:hAnsi="Times New Roman" w:cs="Times New Roman"/>
        <w:b/>
        <w:bCs/>
        <w:i w:val="0"/>
        <w:strike w:val="0"/>
        <w:dstrike w:val="0"/>
        <w:color w:val="010000"/>
        <w:sz w:val="24"/>
        <w:szCs w:val="24"/>
        <w:u w:val="none" w:color="000000"/>
        <w:bdr w:val="none" w:sz="0" w:space="0" w:color="auto"/>
        <w:shd w:val="clear" w:color="auto" w:fill="auto"/>
        <w:vertAlign w:val="baseline"/>
      </w:rPr>
    </w:lvl>
    <w:lvl w:ilvl="6" w:tplc="6A34DC02">
      <w:start w:val="1"/>
      <w:numFmt w:val="decimal"/>
      <w:lvlText w:val="%7"/>
      <w:lvlJc w:val="left"/>
      <w:pPr>
        <w:ind w:left="4680"/>
      </w:pPr>
      <w:rPr>
        <w:rFonts w:ascii="Times New Roman" w:eastAsia="Times New Roman" w:hAnsi="Times New Roman" w:cs="Times New Roman"/>
        <w:b/>
        <w:bCs/>
        <w:i w:val="0"/>
        <w:strike w:val="0"/>
        <w:dstrike w:val="0"/>
        <w:color w:val="010000"/>
        <w:sz w:val="24"/>
        <w:szCs w:val="24"/>
        <w:u w:val="none" w:color="000000"/>
        <w:bdr w:val="none" w:sz="0" w:space="0" w:color="auto"/>
        <w:shd w:val="clear" w:color="auto" w:fill="auto"/>
        <w:vertAlign w:val="baseline"/>
      </w:rPr>
    </w:lvl>
    <w:lvl w:ilvl="7" w:tplc="B6A45B44">
      <w:start w:val="1"/>
      <w:numFmt w:val="lowerLetter"/>
      <w:lvlText w:val="%8"/>
      <w:lvlJc w:val="left"/>
      <w:pPr>
        <w:ind w:left="5400"/>
      </w:pPr>
      <w:rPr>
        <w:rFonts w:ascii="Times New Roman" w:eastAsia="Times New Roman" w:hAnsi="Times New Roman" w:cs="Times New Roman"/>
        <w:b/>
        <w:bCs/>
        <w:i w:val="0"/>
        <w:strike w:val="0"/>
        <w:dstrike w:val="0"/>
        <w:color w:val="010000"/>
        <w:sz w:val="24"/>
        <w:szCs w:val="24"/>
        <w:u w:val="none" w:color="000000"/>
        <w:bdr w:val="none" w:sz="0" w:space="0" w:color="auto"/>
        <w:shd w:val="clear" w:color="auto" w:fill="auto"/>
        <w:vertAlign w:val="baseline"/>
      </w:rPr>
    </w:lvl>
    <w:lvl w:ilvl="8" w:tplc="B25AB506">
      <w:start w:val="1"/>
      <w:numFmt w:val="lowerRoman"/>
      <w:lvlText w:val="%9"/>
      <w:lvlJc w:val="left"/>
      <w:pPr>
        <w:ind w:left="6120"/>
      </w:pPr>
      <w:rPr>
        <w:rFonts w:ascii="Times New Roman" w:eastAsia="Times New Roman" w:hAnsi="Times New Roman" w:cs="Times New Roman"/>
        <w:b/>
        <w:bCs/>
        <w:i w:val="0"/>
        <w:strike w:val="0"/>
        <w:dstrike w:val="0"/>
        <w:color w:val="010000"/>
        <w:sz w:val="24"/>
        <w:szCs w:val="24"/>
        <w:u w:val="none" w:color="000000"/>
        <w:bdr w:val="none" w:sz="0" w:space="0" w:color="auto"/>
        <w:shd w:val="clear" w:color="auto" w:fill="auto"/>
        <w:vertAlign w:val="baseline"/>
      </w:rPr>
    </w:lvl>
  </w:abstractNum>
  <w:abstractNum w:abstractNumId="3" w15:restartNumberingAfterBreak="0">
    <w:nsid w:val="7E8C0939"/>
    <w:multiLevelType w:val="hybridMultilevel"/>
    <w:tmpl w:val="503ECBA2"/>
    <w:lvl w:ilvl="0" w:tplc="9182D10E">
      <w:start w:val="1"/>
      <w:numFmt w:val="lowerLetter"/>
      <w:lvlText w:val="(%1)"/>
      <w:lvlJc w:val="left"/>
      <w:pPr>
        <w:ind w:left="2160"/>
      </w:pPr>
      <w:rPr>
        <w:rFonts w:ascii="Times New Roman" w:eastAsia="Times New Roman" w:hAnsi="Times New Roman" w:cs="Times New Roman"/>
        <w:b w:val="0"/>
        <w:i w:val="0"/>
        <w:strike w:val="0"/>
        <w:dstrike w:val="0"/>
        <w:color w:val="010000"/>
        <w:sz w:val="24"/>
        <w:szCs w:val="24"/>
        <w:u w:val="none" w:color="000000"/>
        <w:bdr w:val="none" w:sz="0" w:space="0" w:color="auto"/>
        <w:shd w:val="clear" w:color="auto" w:fill="auto"/>
        <w:vertAlign w:val="baseline"/>
      </w:rPr>
    </w:lvl>
    <w:lvl w:ilvl="1" w:tplc="B1BCE730">
      <w:start w:val="1"/>
      <w:numFmt w:val="lowerLetter"/>
      <w:lvlText w:val="%2"/>
      <w:lvlJc w:val="left"/>
      <w:pPr>
        <w:ind w:left="2109"/>
      </w:pPr>
      <w:rPr>
        <w:rFonts w:ascii="Times New Roman" w:eastAsia="Times New Roman" w:hAnsi="Times New Roman" w:cs="Times New Roman"/>
        <w:b w:val="0"/>
        <w:i w:val="0"/>
        <w:strike w:val="0"/>
        <w:dstrike w:val="0"/>
        <w:color w:val="010000"/>
        <w:sz w:val="24"/>
        <w:szCs w:val="24"/>
        <w:u w:val="none" w:color="000000"/>
        <w:bdr w:val="none" w:sz="0" w:space="0" w:color="auto"/>
        <w:shd w:val="clear" w:color="auto" w:fill="auto"/>
        <w:vertAlign w:val="baseline"/>
      </w:rPr>
    </w:lvl>
    <w:lvl w:ilvl="2" w:tplc="D1AC435E">
      <w:start w:val="1"/>
      <w:numFmt w:val="lowerRoman"/>
      <w:lvlText w:val="%3"/>
      <w:lvlJc w:val="left"/>
      <w:pPr>
        <w:ind w:left="2829"/>
      </w:pPr>
      <w:rPr>
        <w:rFonts w:ascii="Times New Roman" w:eastAsia="Times New Roman" w:hAnsi="Times New Roman" w:cs="Times New Roman"/>
        <w:b w:val="0"/>
        <w:i w:val="0"/>
        <w:strike w:val="0"/>
        <w:dstrike w:val="0"/>
        <w:color w:val="010000"/>
        <w:sz w:val="24"/>
        <w:szCs w:val="24"/>
        <w:u w:val="none" w:color="000000"/>
        <w:bdr w:val="none" w:sz="0" w:space="0" w:color="auto"/>
        <w:shd w:val="clear" w:color="auto" w:fill="auto"/>
        <w:vertAlign w:val="baseline"/>
      </w:rPr>
    </w:lvl>
    <w:lvl w:ilvl="3" w:tplc="E42C1640">
      <w:start w:val="1"/>
      <w:numFmt w:val="decimal"/>
      <w:lvlText w:val="%4"/>
      <w:lvlJc w:val="left"/>
      <w:pPr>
        <w:ind w:left="3549"/>
      </w:pPr>
      <w:rPr>
        <w:rFonts w:ascii="Times New Roman" w:eastAsia="Times New Roman" w:hAnsi="Times New Roman" w:cs="Times New Roman"/>
        <w:b w:val="0"/>
        <w:i w:val="0"/>
        <w:strike w:val="0"/>
        <w:dstrike w:val="0"/>
        <w:color w:val="010000"/>
        <w:sz w:val="24"/>
        <w:szCs w:val="24"/>
        <w:u w:val="none" w:color="000000"/>
        <w:bdr w:val="none" w:sz="0" w:space="0" w:color="auto"/>
        <w:shd w:val="clear" w:color="auto" w:fill="auto"/>
        <w:vertAlign w:val="baseline"/>
      </w:rPr>
    </w:lvl>
    <w:lvl w:ilvl="4" w:tplc="D34C82B0">
      <w:start w:val="1"/>
      <w:numFmt w:val="lowerLetter"/>
      <w:lvlText w:val="%5"/>
      <w:lvlJc w:val="left"/>
      <w:pPr>
        <w:ind w:left="4269"/>
      </w:pPr>
      <w:rPr>
        <w:rFonts w:ascii="Times New Roman" w:eastAsia="Times New Roman" w:hAnsi="Times New Roman" w:cs="Times New Roman"/>
        <w:b w:val="0"/>
        <w:i w:val="0"/>
        <w:strike w:val="0"/>
        <w:dstrike w:val="0"/>
        <w:color w:val="010000"/>
        <w:sz w:val="24"/>
        <w:szCs w:val="24"/>
        <w:u w:val="none" w:color="000000"/>
        <w:bdr w:val="none" w:sz="0" w:space="0" w:color="auto"/>
        <w:shd w:val="clear" w:color="auto" w:fill="auto"/>
        <w:vertAlign w:val="baseline"/>
      </w:rPr>
    </w:lvl>
    <w:lvl w:ilvl="5" w:tplc="F992DAA0">
      <w:start w:val="1"/>
      <w:numFmt w:val="lowerRoman"/>
      <w:lvlText w:val="%6"/>
      <w:lvlJc w:val="left"/>
      <w:pPr>
        <w:ind w:left="4989"/>
      </w:pPr>
      <w:rPr>
        <w:rFonts w:ascii="Times New Roman" w:eastAsia="Times New Roman" w:hAnsi="Times New Roman" w:cs="Times New Roman"/>
        <w:b w:val="0"/>
        <w:i w:val="0"/>
        <w:strike w:val="0"/>
        <w:dstrike w:val="0"/>
        <w:color w:val="010000"/>
        <w:sz w:val="24"/>
        <w:szCs w:val="24"/>
        <w:u w:val="none" w:color="000000"/>
        <w:bdr w:val="none" w:sz="0" w:space="0" w:color="auto"/>
        <w:shd w:val="clear" w:color="auto" w:fill="auto"/>
        <w:vertAlign w:val="baseline"/>
      </w:rPr>
    </w:lvl>
    <w:lvl w:ilvl="6" w:tplc="AB94BB96">
      <w:start w:val="1"/>
      <w:numFmt w:val="decimal"/>
      <w:lvlText w:val="%7"/>
      <w:lvlJc w:val="left"/>
      <w:pPr>
        <w:ind w:left="5709"/>
      </w:pPr>
      <w:rPr>
        <w:rFonts w:ascii="Times New Roman" w:eastAsia="Times New Roman" w:hAnsi="Times New Roman" w:cs="Times New Roman"/>
        <w:b w:val="0"/>
        <w:i w:val="0"/>
        <w:strike w:val="0"/>
        <w:dstrike w:val="0"/>
        <w:color w:val="010000"/>
        <w:sz w:val="24"/>
        <w:szCs w:val="24"/>
        <w:u w:val="none" w:color="000000"/>
        <w:bdr w:val="none" w:sz="0" w:space="0" w:color="auto"/>
        <w:shd w:val="clear" w:color="auto" w:fill="auto"/>
        <w:vertAlign w:val="baseline"/>
      </w:rPr>
    </w:lvl>
    <w:lvl w:ilvl="7" w:tplc="E9C8578C">
      <w:start w:val="1"/>
      <w:numFmt w:val="lowerLetter"/>
      <w:lvlText w:val="%8"/>
      <w:lvlJc w:val="left"/>
      <w:pPr>
        <w:ind w:left="6429"/>
      </w:pPr>
      <w:rPr>
        <w:rFonts w:ascii="Times New Roman" w:eastAsia="Times New Roman" w:hAnsi="Times New Roman" w:cs="Times New Roman"/>
        <w:b w:val="0"/>
        <w:i w:val="0"/>
        <w:strike w:val="0"/>
        <w:dstrike w:val="0"/>
        <w:color w:val="010000"/>
        <w:sz w:val="24"/>
        <w:szCs w:val="24"/>
        <w:u w:val="none" w:color="000000"/>
        <w:bdr w:val="none" w:sz="0" w:space="0" w:color="auto"/>
        <w:shd w:val="clear" w:color="auto" w:fill="auto"/>
        <w:vertAlign w:val="baseline"/>
      </w:rPr>
    </w:lvl>
    <w:lvl w:ilvl="8" w:tplc="0352D478">
      <w:start w:val="1"/>
      <w:numFmt w:val="lowerRoman"/>
      <w:lvlText w:val="%9"/>
      <w:lvlJc w:val="left"/>
      <w:pPr>
        <w:ind w:left="7149"/>
      </w:pPr>
      <w:rPr>
        <w:rFonts w:ascii="Times New Roman" w:eastAsia="Times New Roman" w:hAnsi="Times New Roman" w:cs="Times New Roman"/>
        <w:b w:val="0"/>
        <w:i w:val="0"/>
        <w:strike w:val="0"/>
        <w:dstrike w:val="0"/>
        <w:color w:val="010000"/>
        <w:sz w:val="24"/>
        <w:szCs w:val="24"/>
        <w:u w:val="none" w:color="000000"/>
        <w:bdr w:val="none" w:sz="0" w:space="0" w:color="auto"/>
        <w:shd w:val="clear" w:color="auto" w:fill="auto"/>
        <w:vertAlign w:val="baseline"/>
      </w:rPr>
    </w:lvl>
  </w:abstractNum>
  <w:num w:numId="1" w16cid:durableId="1262959011">
    <w:abstractNumId w:val="3"/>
  </w:num>
  <w:num w:numId="2" w16cid:durableId="1004625132">
    <w:abstractNumId w:val="1"/>
  </w:num>
  <w:num w:numId="3" w16cid:durableId="2078623352">
    <w:abstractNumId w:val="0"/>
  </w:num>
  <w:num w:numId="4" w16cid:durableId="83080276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7B60"/>
    <w:rsid w:val="003B1723"/>
    <w:rsid w:val="005F4680"/>
    <w:rsid w:val="00E51846"/>
    <w:rsid w:val="00F47B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01176"/>
  <w15:docId w15:val="{AAA20D98-89F1-4CD1-8C67-7B478CF153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29" w:line="249" w:lineRule="auto"/>
      <w:ind w:left="730" w:right="2" w:hanging="730"/>
      <w:jc w:val="both"/>
    </w:pPr>
    <w:rPr>
      <w:rFonts w:ascii="Times New Roman" w:eastAsia="Times New Roman" w:hAnsi="Times New Roman" w:cs="Times New Roman"/>
      <w:color w:val="000000"/>
    </w:rPr>
  </w:style>
  <w:style w:type="paragraph" w:styleId="Heading1">
    <w:name w:val="heading 1"/>
    <w:next w:val="Normal"/>
    <w:link w:val="Heading1Char"/>
    <w:uiPriority w:val="9"/>
    <w:qFormat/>
    <w:pPr>
      <w:keepNext/>
      <w:keepLines/>
      <w:numPr>
        <w:numId w:val="4"/>
      </w:numPr>
      <w:spacing w:after="217" w:line="265" w:lineRule="auto"/>
      <w:ind w:left="11" w:hanging="10"/>
      <w:outlineLvl w:val="0"/>
    </w:pPr>
    <w:rPr>
      <w:rFonts w:ascii="Times New Roman" w:eastAsia="Times New Roman" w:hAnsi="Times New Roman" w:cs="Times New Roman"/>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6</Pages>
  <Words>2341</Words>
  <Characters>13347</Characters>
  <Application>Microsoft Office Word</Application>
  <DocSecurity>0</DocSecurity>
  <Lines>111</Lines>
  <Paragraphs>31</Paragraphs>
  <ScaleCrop>false</ScaleCrop>
  <Company/>
  <LinksUpToDate>false</LinksUpToDate>
  <CharactersWithSpaces>15657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Vitable Subcontractor BAA.docx</dc:title>
  <dc:subject/>
  <dc:creator>Thomas Mahoney</dc:creator>
  <cp:keywords/>
  <cp:lastModifiedBy>Thomas Mahoney</cp:lastModifiedBy>
  <cp:revision>2</cp:revision>
  <dcterms:created xsi:type="dcterms:W3CDTF">2025-08-22T15:48:00Z</dcterms:created>
  <dcterms:modified xsi:type="dcterms:W3CDTF">2025-08-22T15:48:00Z</dcterms:modified>
</cp:coreProperties>
</file>